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5E3D6" w14:textId="77777777" w:rsidR="00552AE7" w:rsidRPr="003D7C64" w:rsidRDefault="00552AE7" w:rsidP="00552AE7">
      <w:pPr>
        <w:rPr>
          <w:rFonts w:ascii="Times New Roman" w:eastAsia="Times New Roman" w:hAnsi="Times New Roman"/>
          <w:iCs/>
          <w:sz w:val="28"/>
          <w:szCs w:val="28"/>
          <w:lang w:val="en-US"/>
        </w:rPr>
      </w:pPr>
    </w:p>
    <w:tbl>
      <w:tblPr>
        <w:tblW w:w="9924" w:type="dxa"/>
        <w:jc w:val="center"/>
        <w:tblLook w:val="04A0" w:firstRow="1" w:lastRow="0" w:firstColumn="1" w:lastColumn="0" w:noHBand="0" w:noVBand="1"/>
      </w:tblPr>
      <w:tblGrid>
        <w:gridCol w:w="3828"/>
        <w:gridCol w:w="6096"/>
      </w:tblGrid>
      <w:tr w:rsidR="00B900CC" w:rsidRPr="001C38B8" w14:paraId="23C2BA8B" w14:textId="77777777" w:rsidTr="00223163">
        <w:trPr>
          <w:jc w:val="center"/>
        </w:trPr>
        <w:tc>
          <w:tcPr>
            <w:tcW w:w="3828" w:type="dxa"/>
          </w:tcPr>
          <w:p w14:paraId="6B727623" w14:textId="77777777" w:rsidR="00B900CC" w:rsidRPr="005036C4" w:rsidRDefault="00B900CC" w:rsidP="009F124C">
            <w:pPr>
              <w:spacing w:before="120" w:line="264"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BỘ CÔNG THƯƠNG</w:t>
            </w:r>
          </w:p>
          <w:p w14:paraId="212AFE0D" w14:textId="77777777" w:rsidR="00B900CC" w:rsidRPr="000E437D" w:rsidRDefault="00B900CC" w:rsidP="009F124C">
            <w:pPr>
              <w:spacing w:before="120" w:line="264" w:lineRule="auto"/>
              <w:jc w:val="center"/>
              <w:rPr>
                <w:rFonts w:ascii="Times New Roman" w:hAnsi="Times New Roman" w:cs="Times New Roman"/>
                <w:b/>
                <w:sz w:val="28"/>
                <w:szCs w:val="28"/>
              </w:rPr>
            </w:pPr>
            <w:r w:rsidRPr="000E437D">
              <w:rPr>
                <w:rFonts w:ascii="Times New Roman" w:hAnsi="Times New Roman" w:cs="Times New Roman"/>
                <w:b/>
                <w:noProof/>
                <w:sz w:val="28"/>
                <w:szCs w:val="28"/>
                <w:lang w:eastAsia="en-US"/>
              </w:rPr>
              <mc:AlternateContent>
                <mc:Choice Requires="wps">
                  <w:drawing>
                    <wp:anchor distT="0" distB="0" distL="114300" distR="114300" simplePos="0" relativeHeight="251659264" behindDoc="0" locked="0" layoutInCell="1" allowOverlap="1" wp14:anchorId="51C5ED43" wp14:editId="312BF876">
                      <wp:simplePos x="0" y="0"/>
                      <wp:positionH relativeFrom="column">
                        <wp:posOffset>531495</wp:posOffset>
                      </wp:positionH>
                      <wp:positionV relativeFrom="paragraph">
                        <wp:posOffset>13970</wp:posOffset>
                      </wp:positionV>
                      <wp:extent cx="1148080" cy="0"/>
                      <wp:effectExtent l="11430" t="10160" r="1206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shapetype w14:anchorId="7DD2906F" id="_x0000_t32" coordsize="21600,21600" o:spt="32" o:oned="t" path="m,l21600,21600e" filled="f">
                      <v:path arrowok="t" fillok="f" o:connecttype="none"/>
                      <o:lock v:ext="edit" shapetype="t"/>
                    </v:shapetype>
                    <v:shape id="Straight Arrow Connector 1" o:spid="_x0000_s1026" type="#_x0000_t32" style="position:absolute;margin-left:41.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ezwEAAIsDAAAOAAAAZHJzL2Uyb0RvYy54bWysU02P0zAQvSPxHyzfaZqKRSVqukJdlssC&#10;lbr8ANd2EgvbY43dJv33jN2PZeGGyMGyPfPezHvjrO4nZ9lRYzTgW17P5pxpL0EZ37f8x/PjuyVn&#10;MQmvhAWvW37Skd+v375ZjaHRCxjAKo2MSHxsxtDyIaXQVFWUg3YiziBoT8EO0IlER+wrhWIkdmer&#10;xXz+oRoBVUCQOka6fTgH+brwd52W6XvXRZ2YbTn1lsqKZd3ntVqvRNOjCIORlzbEP3ThhPFU9Eb1&#10;IJJgBzR/UTkjESJ0aSbBVdB1RuqigdTU8z/U7AYRdNFC5sRwsyn+P1r57bhFZhTNjjMvHI1ol1CY&#10;fkjsEyKMbAPek42ArM5ujSE2BNr4LWa9cvK78ATyZ2QeNoPwvS5dP58CURVE9QqSDzFQzf34FRTl&#10;iEOCYt3UocuUZAqbyoROtwnpKTFJl3X9fjlf0iDlNVaJ5goMGNMXDY7lTcvjRcdNQF3KiONTTCSE&#10;gFdArurh0VhbnoP1bGz5x7vFXQFEsEblYE6L2O83FtlR5AdVvuwKkb1KQzh4VcgGLdTnyz4JY897&#10;yreeYFc3zr7uQZ22mOnyPU28EF9eZ35Sv59L1ss/tP4FAAD//wMAUEsDBBQABgAIAAAAIQB5acCC&#10;2wAAAAYBAAAPAAAAZHJzL2Rvd25yZXYueG1sTI7BTsMwEETvSP0Ha5F6QdSpS0sJcaoKqQeOtJW4&#10;buMlCcTrKHaa0K/HcCnH0YzevGwz2kacqfO1Yw3zWQKCuHCm5lLD8bC7X4PwAdlg45g0fJOHTT65&#10;yTA1buA3Ou9DKSKEfYoaqhDaVEpfVGTRz1xLHLsP11kMMXalNB0OEW4bqZJkJS3WHB8qbOmlouJr&#10;31sN5PvlPNk+2fL4ehnu3tXlc2gPWk9vx+0ziEBjuI7hVz+qQx6dTq5n40WjYb14jEsNSoGItVo9&#10;LEGc/rLMM/lfP/8BAAD//wMAUEsBAi0AFAAGAAgAAAAhALaDOJL+AAAA4QEAABMAAAAAAAAAAAAA&#10;AAAAAAAAAFtDb250ZW50X1R5cGVzXS54bWxQSwECLQAUAAYACAAAACEAOP0h/9YAAACUAQAACwAA&#10;AAAAAAAAAAAAAAAvAQAAX3JlbHMvLnJlbHNQSwECLQAUAAYACAAAACEA3p/qHs8BAACLAwAADgAA&#10;AAAAAAAAAAAAAAAuAgAAZHJzL2Uyb0RvYy54bWxQSwECLQAUAAYACAAAACEAeWnAgtsAAAAGAQAA&#10;DwAAAAAAAAAAAAAAAAApBAAAZHJzL2Rvd25yZXYueG1sUEsFBgAAAAAEAAQA8wAAADEFAAAAAA==&#10;"/>
                  </w:pict>
                </mc:Fallback>
              </mc:AlternateContent>
            </w:r>
          </w:p>
        </w:tc>
        <w:tc>
          <w:tcPr>
            <w:tcW w:w="6096" w:type="dxa"/>
          </w:tcPr>
          <w:p w14:paraId="0960EA67" w14:textId="77777777" w:rsidR="00552AE7" w:rsidRPr="00223163" w:rsidRDefault="00552AE7" w:rsidP="00552AE7">
            <w:pPr>
              <w:jc w:val="center"/>
              <w:rPr>
                <w:rFonts w:ascii="Times New Roman" w:hAnsi="Times New Roman" w:cs="Times New Roman"/>
                <w:color w:val="000000" w:themeColor="text1"/>
                <w:sz w:val="28"/>
                <w:szCs w:val="28"/>
              </w:rPr>
            </w:pPr>
            <w:r w:rsidRPr="00223163">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7EE78787" wp14:editId="13473CE2">
                      <wp:simplePos x="0" y="0"/>
                      <wp:positionH relativeFrom="column">
                        <wp:posOffset>1062355</wp:posOffset>
                      </wp:positionH>
                      <wp:positionV relativeFrom="paragraph">
                        <wp:posOffset>475615</wp:posOffset>
                      </wp:positionV>
                      <wp:extent cx="16859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85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line w14:anchorId="3E8111A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65pt,37.45pt" to="216.4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tmotQEAALcDAAAOAAAAZHJzL2Uyb0RvYy54bWysU8GO0zAQvSPxD5bvNG2kXS1R0z10BRcE&#10;FQsf4HXGjYXtscamTf+esdtm0YIQQlwcj/3em3njyfp+8k4cgJLF0MvVYikFBI2DDftefv3y7s2d&#10;FCmrMCiHAXp5giTvN69frY+xgxZHdAOQYJGQumPs5Zhz7Jom6RG8SguMEPjSIHmVOaR9M5A6srp3&#10;Tbtc3jZHpCESakiJTx/Ol3JT9Y0BnT8ZkyAL10uuLdeV6vpU1mazVt2eVBytvpSh/qEKr2zgpLPU&#10;g8pKfCf7i5S3mjChyQuNvkFjrIbqgd2sli/cPI4qQvXCzUlxblP6f7L642FHwg69bKUIyvMTPWZS&#10;dj9mscUQuIFIoi19OsbUMXwbdnSJUtxRMT0Z8uXLdsRUe3uaewtTFpoPV7d3N2/bGyn09a55JkZK&#10;+T2gF2XTS2dDsa06dfiQMidj6BXCQSnknLru8slBAbvwGQxbKckquw4RbB2Jg+LnH76tig3WqshC&#10;Mda5mbT8M+mCLTSog/W3xBldM2LIM9HbgPS7rHm6lmrO+Kvrs9di+wmHU32I2g6ejursMsll/H6O&#10;K/35f9v8AAAA//8DAFBLAwQUAAYACAAAACEAfBwKtd0AAAAJAQAADwAAAGRycy9kb3ducmV2Lnht&#10;bEyPzU7DMBCE70i8g7VI3KhDWqUQ4lRVJYS4IJrC3Y23TsA/ke2k4e1ZxAGOM/tpdqbazNawCUPs&#10;vRNwu8iAoWu96p0W8HZ4vLkDFpN0ShrvUMAXRtjUlxeVLJU/uz1OTdKMQlwspYAupaHkPLYdWhkX&#10;fkBHt5MPViaSQXMV5JnCreF5lhXcyt7Rh04OuOuw/WxGK8A8h+ld7/Q2jk/7ovl4PeUvh0mI66t5&#10;+wAs4Zz+YPipT9Whpk5HPzoVmSFdrJeECliv7oERsFrmtOX4a/C64v8X1N8AAAD//wMAUEsBAi0A&#10;FAAGAAgAAAAhALaDOJL+AAAA4QEAABMAAAAAAAAAAAAAAAAAAAAAAFtDb250ZW50X1R5cGVzXS54&#10;bWxQSwECLQAUAAYACAAAACEAOP0h/9YAAACUAQAACwAAAAAAAAAAAAAAAAAvAQAAX3JlbHMvLnJl&#10;bHNQSwECLQAUAAYACAAAACEAmYLZqLUBAAC3AwAADgAAAAAAAAAAAAAAAAAuAgAAZHJzL2Uyb0Rv&#10;Yy54bWxQSwECLQAUAAYACAAAACEAfBwKtd0AAAAJAQAADwAAAAAAAAAAAAAAAAAPBAAAZHJzL2Rv&#10;d25yZXYueG1sUEsFBgAAAAAEAAQA8wAAABkFAAAAAA==&#10;" strokecolor="black [3200]" strokeweight=".5pt">
                      <v:stroke joinstyle="miter"/>
                    </v:line>
                  </w:pict>
                </mc:Fallback>
              </mc:AlternateContent>
            </w:r>
            <w:r w:rsidRPr="00223163">
              <w:rPr>
                <w:rFonts w:ascii="Times New Roman" w:hAnsi="Times New Roman" w:cs="Times New Roman"/>
                <w:b/>
                <w:bCs/>
                <w:color w:val="000000" w:themeColor="text1"/>
                <w:sz w:val="28"/>
                <w:szCs w:val="28"/>
              </w:rPr>
              <w:t>CỘNG HÒA XÃ HỘI CHỦ NGHĨA VIỆT NAM</w:t>
            </w:r>
            <w:r w:rsidRPr="00223163">
              <w:rPr>
                <w:rFonts w:ascii="Times New Roman" w:hAnsi="Times New Roman" w:cs="Times New Roman"/>
                <w:b/>
                <w:bCs/>
                <w:color w:val="000000" w:themeColor="text1"/>
                <w:sz w:val="28"/>
                <w:szCs w:val="28"/>
              </w:rPr>
              <w:br/>
              <w:t xml:space="preserve">Độc lập - Tự do - Hạnh phúc </w:t>
            </w:r>
            <w:r w:rsidRPr="00223163">
              <w:rPr>
                <w:rFonts w:ascii="Times New Roman" w:hAnsi="Times New Roman" w:cs="Times New Roman"/>
                <w:b/>
                <w:bCs/>
                <w:color w:val="000000" w:themeColor="text1"/>
                <w:sz w:val="28"/>
                <w:szCs w:val="28"/>
              </w:rPr>
              <w:br/>
            </w:r>
          </w:p>
          <w:p w14:paraId="660D354D" w14:textId="2D2BD137" w:rsidR="00B900CC" w:rsidRPr="00681CA0" w:rsidRDefault="00552AE7" w:rsidP="00552AE7">
            <w:pPr>
              <w:spacing w:before="120" w:line="264" w:lineRule="auto"/>
              <w:jc w:val="right"/>
              <w:rPr>
                <w:rFonts w:ascii="Times New Roman" w:hAnsi="Times New Roman" w:cs="Times New Roman"/>
                <w:b/>
                <w:i/>
              </w:rPr>
            </w:pPr>
            <w:r>
              <w:rPr>
                <w:rFonts w:ascii="Times New Roman" w:hAnsi="Times New Roman" w:cs="Times New Roman"/>
                <w:i/>
                <w:iCs/>
                <w:color w:val="000000" w:themeColor="text1"/>
                <w:lang w:val="en-US"/>
              </w:rPr>
              <w:t>Hà Nội, ngày        tháng         năm 202</w:t>
            </w:r>
            <w:r w:rsidR="00681CA0">
              <w:rPr>
                <w:rFonts w:ascii="Times New Roman" w:hAnsi="Times New Roman" w:cs="Times New Roman"/>
                <w:i/>
                <w:iCs/>
                <w:color w:val="000000" w:themeColor="text1"/>
              </w:rPr>
              <w:t>6</w:t>
            </w:r>
          </w:p>
        </w:tc>
      </w:tr>
    </w:tbl>
    <w:p w14:paraId="007B2BBC" w14:textId="77777777" w:rsidR="00552AE7" w:rsidRPr="00076343" w:rsidRDefault="00552AE7" w:rsidP="00223163">
      <w:pPr>
        <w:adjustRightInd w:val="0"/>
        <w:snapToGrid w:val="0"/>
        <w:spacing w:after="120"/>
        <w:ind w:firstLine="720"/>
        <w:jc w:val="center"/>
        <w:rPr>
          <w:rFonts w:ascii="Arial" w:hAnsi="Arial" w:cs="Arial"/>
          <w:b/>
          <w:bCs/>
          <w:color w:val="000000" w:themeColor="text1"/>
          <w:sz w:val="20"/>
          <w:szCs w:val="20"/>
        </w:rPr>
      </w:pPr>
    </w:p>
    <w:p w14:paraId="1049787B" w14:textId="0505F636" w:rsidR="00552AE7" w:rsidRPr="00681CA0" w:rsidRDefault="00552AE7" w:rsidP="00223163">
      <w:pPr>
        <w:jc w:val="center"/>
        <w:rPr>
          <w:rFonts w:ascii="Times New Roman Bold" w:hAnsi="Times New Roman Bold" w:cs="Times New Roman"/>
          <w:b/>
          <w:bCs/>
          <w:spacing w:val="-2"/>
          <w:sz w:val="28"/>
          <w:szCs w:val="28"/>
        </w:rPr>
      </w:pPr>
      <w:r w:rsidRPr="00681CA0">
        <w:rPr>
          <w:rFonts w:ascii="Times New Roman Bold" w:hAnsi="Times New Roman Bold" w:cs="Times New Roman"/>
          <w:b/>
          <w:bCs/>
          <w:spacing w:val="-2"/>
          <w:sz w:val="28"/>
          <w:szCs w:val="28"/>
        </w:rPr>
        <w:t>BẢN ĐÁNH GIÁ THỦ TỤC HÀNH CHÍNH, VIỆC PHÂN CẤP, VIỆC ỨNG DỤNG, THÚC ĐẨY PHÁT TRIỂN KHOA HỌC, CÔNG NGHỆ, ĐỔI MỚI SÁNG TẠO VÀ CHUYỂN ĐỔI SỐ,</w:t>
      </w:r>
      <w:r w:rsidR="00223163" w:rsidRPr="00681CA0">
        <w:rPr>
          <w:rFonts w:ascii="Times New Roman Bold" w:hAnsi="Times New Roman Bold" w:cs="Times New Roman"/>
          <w:b/>
          <w:bCs/>
          <w:spacing w:val="-2"/>
          <w:sz w:val="28"/>
          <w:szCs w:val="28"/>
          <w:lang w:val="en-US"/>
        </w:rPr>
        <w:t xml:space="preserve"> </w:t>
      </w:r>
      <w:r w:rsidRPr="00681CA0">
        <w:rPr>
          <w:rFonts w:ascii="Times New Roman Bold" w:hAnsi="Times New Roman Bold" w:cs="Times New Roman"/>
          <w:b/>
          <w:bCs/>
          <w:spacing w:val="-2"/>
          <w:sz w:val="28"/>
          <w:szCs w:val="28"/>
        </w:rPr>
        <w:t xml:space="preserve"> TRONG DỰ THẢO NGHỊ ĐỊNH </w:t>
      </w:r>
    </w:p>
    <w:p w14:paraId="6D9FCE77" w14:textId="77777777" w:rsidR="00552AE7" w:rsidRPr="00223163" w:rsidRDefault="00552AE7" w:rsidP="00223163">
      <w:pPr>
        <w:rPr>
          <w:rFonts w:ascii="Arial" w:hAnsi="Arial" w:cs="Arial"/>
          <w:color w:val="000000" w:themeColor="text1"/>
          <w:sz w:val="20"/>
          <w:szCs w:val="20"/>
          <w:lang w:val="en-US"/>
        </w:rPr>
      </w:pPr>
    </w:p>
    <w:p w14:paraId="26C09106" w14:textId="32170A1A" w:rsidR="00552AE7" w:rsidRPr="00552AE7" w:rsidRDefault="00552AE7" w:rsidP="008745D9">
      <w:pPr>
        <w:adjustRightInd w:val="0"/>
        <w:snapToGrid w:val="0"/>
        <w:spacing w:before="120" w:after="120" w:line="276" w:lineRule="auto"/>
        <w:ind w:firstLine="720"/>
        <w:jc w:val="both"/>
        <w:rPr>
          <w:rFonts w:ascii="Times New Roman" w:hAnsi="Times New Roman" w:cs="Times New Roman"/>
          <w:color w:val="000000" w:themeColor="text1"/>
          <w:sz w:val="28"/>
          <w:szCs w:val="28"/>
        </w:rPr>
      </w:pPr>
      <w:r w:rsidRPr="00552AE7">
        <w:rPr>
          <w:rFonts w:ascii="Times New Roman" w:hAnsi="Times New Roman" w:cs="Times New Roman"/>
          <w:color w:val="000000" w:themeColor="text1"/>
          <w:sz w:val="28"/>
          <w:szCs w:val="28"/>
        </w:rPr>
        <w:t>Thực hiện quy định của Luật Ban hành văn bản quy phạm pháp luật,</w:t>
      </w:r>
      <w:r w:rsidR="00F44687">
        <w:rPr>
          <w:rFonts w:ascii="Times New Roman" w:hAnsi="Times New Roman" w:cs="Times New Roman"/>
          <w:color w:val="000000" w:themeColor="text1"/>
          <w:sz w:val="28"/>
          <w:szCs w:val="28"/>
          <w:lang w:val="en-US"/>
        </w:rPr>
        <w:t xml:space="preserve"> </w:t>
      </w:r>
      <w:r w:rsidRPr="00552AE7">
        <w:rPr>
          <w:rFonts w:ascii="Times New Roman" w:hAnsi="Times New Roman" w:cs="Times New Roman"/>
          <w:color w:val="000000" w:themeColor="text1"/>
          <w:sz w:val="28"/>
          <w:szCs w:val="28"/>
          <w:lang w:val="en-US"/>
        </w:rPr>
        <w:t xml:space="preserve">Bộ Công Thương </w:t>
      </w:r>
      <w:r w:rsidRPr="00552AE7">
        <w:rPr>
          <w:rFonts w:ascii="Times New Roman" w:hAnsi="Times New Roman" w:cs="Times New Roman"/>
          <w:color w:val="000000" w:themeColor="text1"/>
          <w:sz w:val="28"/>
          <w:szCs w:val="28"/>
        </w:rPr>
        <w:t xml:space="preserve">đã tiến hành đánh giá thủ tục hành chính, việc phân quyền, phân cấp, việc ứng dụng, thúc đẩy phát triển khoa học, công nghệ, đổi mới sáng tạo và chuyển đổi số trong </w:t>
      </w:r>
      <w:r w:rsidR="00681CA0">
        <w:rPr>
          <w:rFonts w:ascii="Times New Roman" w:hAnsi="Times New Roman" w:cs="Times New Roman"/>
          <w:color w:val="000000" w:themeColor="text1"/>
          <w:sz w:val="28"/>
          <w:szCs w:val="28"/>
        </w:rPr>
        <w:t>dự thảo N</w:t>
      </w:r>
      <w:r w:rsidR="00681CA0" w:rsidRPr="00681CA0">
        <w:rPr>
          <w:rFonts w:ascii="Times New Roman" w:hAnsi="Times New Roman" w:cs="Times New Roman"/>
          <w:color w:val="000000" w:themeColor="text1"/>
          <w:sz w:val="28"/>
          <w:szCs w:val="28"/>
          <w:lang w:val="en-US"/>
        </w:rPr>
        <w:t>ghị định sửa đổi, bổ sung các nghị định trong lĩnh vực bảo vệ quyền lợi người tiêu dùng</w:t>
      </w:r>
      <w:r w:rsidRPr="00552AE7">
        <w:rPr>
          <w:rFonts w:ascii="Times New Roman" w:hAnsi="Times New Roman" w:cs="Times New Roman"/>
          <w:color w:val="000000" w:themeColor="text1"/>
          <w:sz w:val="28"/>
          <w:szCs w:val="28"/>
          <w:lang w:val="en-US"/>
        </w:rPr>
        <w:t>.</w:t>
      </w:r>
      <w:r w:rsidRPr="00552AE7">
        <w:rPr>
          <w:rFonts w:ascii="Times New Roman" w:hAnsi="Times New Roman" w:cs="Times New Roman"/>
          <w:color w:val="000000" w:themeColor="text1"/>
          <w:sz w:val="28"/>
          <w:szCs w:val="28"/>
        </w:rPr>
        <w:t xml:space="preserve"> Kết quả như sau:</w:t>
      </w:r>
    </w:p>
    <w:p w14:paraId="448850B2" w14:textId="77777777" w:rsidR="00552AE7" w:rsidRPr="00552AE7" w:rsidRDefault="00552AE7" w:rsidP="008745D9">
      <w:pPr>
        <w:adjustRightInd w:val="0"/>
        <w:snapToGrid w:val="0"/>
        <w:spacing w:before="120" w:after="120" w:line="276" w:lineRule="auto"/>
        <w:ind w:firstLine="720"/>
        <w:jc w:val="both"/>
        <w:rPr>
          <w:rFonts w:ascii="Times New Roman" w:hAnsi="Times New Roman" w:cs="Times New Roman"/>
          <w:color w:val="000000" w:themeColor="text1"/>
          <w:sz w:val="28"/>
          <w:szCs w:val="28"/>
        </w:rPr>
      </w:pPr>
      <w:bookmarkStart w:id="0" w:name="bookmark1155"/>
      <w:bookmarkEnd w:id="0"/>
      <w:r w:rsidRPr="00552AE7">
        <w:rPr>
          <w:rFonts w:ascii="Times New Roman" w:hAnsi="Times New Roman" w:cs="Times New Roman"/>
          <w:b/>
          <w:bCs/>
          <w:color w:val="000000" w:themeColor="text1"/>
          <w:sz w:val="28"/>
          <w:szCs w:val="28"/>
        </w:rPr>
        <w:t>I. TỔ CHỨC THỰC HIỆN ĐÁNH GIÁ</w:t>
      </w:r>
    </w:p>
    <w:p w14:paraId="3C8C9B60" w14:textId="77777777" w:rsidR="00552AE7" w:rsidRDefault="00552AE7" w:rsidP="008745D9">
      <w:pPr>
        <w:adjustRightInd w:val="0"/>
        <w:snapToGrid w:val="0"/>
        <w:spacing w:before="120" w:after="120" w:line="276" w:lineRule="auto"/>
        <w:ind w:firstLine="720"/>
        <w:jc w:val="both"/>
        <w:rPr>
          <w:rFonts w:ascii="Times New Roman" w:hAnsi="Times New Roman" w:cs="Times New Roman"/>
          <w:b/>
          <w:bCs/>
          <w:color w:val="000000" w:themeColor="text1"/>
          <w:sz w:val="28"/>
          <w:szCs w:val="28"/>
        </w:rPr>
      </w:pPr>
      <w:bookmarkStart w:id="1" w:name="bookmark1156"/>
      <w:bookmarkEnd w:id="1"/>
      <w:r w:rsidRPr="00552AE7">
        <w:rPr>
          <w:rFonts w:ascii="Times New Roman" w:hAnsi="Times New Roman" w:cs="Times New Roman"/>
          <w:b/>
          <w:bCs/>
          <w:color w:val="000000" w:themeColor="text1"/>
          <w:sz w:val="28"/>
          <w:szCs w:val="28"/>
        </w:rPr>
        <w:t>1. Bối cảnh xây dựng dự án, dự thảo văn bản quy phạm pháp luật</w:t>
      </w:r>
    </w:p>
    <w:p w14:paraId="6738E477"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Nghị định số 55/2024/NĐ-CP được ban hành nhằm quy định chi tiết các nội dung Luật Bảo vệ quyền lợi người tiêu dùng năm 2023, có hiệu lực thi hành từ ngày 01 tháng 7 năm 2024 và thay thế Nghị định số 99/2011/NĐ-CP. Bao gồm 08 chương, 30 điều và 11 biểu mẫu, quy định các nội dung về Ngày Quyền của người tiêu dùng Việt Nam; bảo vệ người tiêu dùng trong giao dịch tại chợ, trung tâm thương mại; hợp đồng theo mẫu, điều kiện giao dịch chung; thu hồi sản phẩm, hàng hóa có khuyết tật; giao dịch từ xa, nền tảng số lớn, bán hàng đa cấp, bán hàng không tại địa điểm giao dịch thường xuyên; và xử lý tiền bồi thường trong vụ án dân sự do tổ chức xã hội khởi kiện vì lợi ích công cộng.</w:t>
      </w:r>
    </w:p>
    <w:p w14:paraId="0CA18CF7"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Quá trình thực thi Nghị định số 55/2024/NĐ-CP trùng với giai đoạn thị trường tiêu dùng tiếp tục dịch chuyển mạnh sang môi trường số. Thương mại điện tử, mạng xã hội, nền tảng số trung gian, quảng cáo sử dụng thuật toán và giao dịch xuyên biên giới phát triển nhanh; đồng thời xuất hiện ngày càng nhiều hành vi gian lận, lừa đảo, che giấu thông tin, thao túng lựa chọn và khai thác dữ liệu người tiêu dùng. Chuỗi cung ứng toàn cầu cũng làm gia tăng số chương trình thu hồi sản phẩm, hàng hóa có phạm vi liên tỉnh, liên quốc gia, đòi hỏi cơ chế thông tin và phối hợp xử lý kịp thời giữa cơ quan bảo vệ quyền lợi người tiêu dùng với cơ quan quản lý chuyên ngành.</w:t>
      </w:r>
    </w:p>
    <w:p w14:paraId="2CA98A24"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 xml:space="preserve">Trên thế giới, công tác bảo vệ quyền lợi người tiêu dùng ngày càng có vai trò quan trọng đối với sự phát triển lành mạnh và bền vững của nền kinh tế, đặc biệt trong bối cảnh thương mại điện tử, kinh tế số và các mô hình kinh doanh dựa trên nền tảng phát triển mạnh mẽ. Giao dịch của người tiêu dùng không còn bị giới hạn bởi không gian địa lý và có thể được thiết lập, thực hiện hoàn toàn trên môi trường điện tử với tổ chức, cá nhân kinh doanh tại quốc gia khác. Thực tiễn </w:t>
      </w:r>
      <w:r w:rsidRPr="00A44FA8">
        <w:rPr>
          <w:rFonts w:eastAsia="Courier New"/>
          <w:color w:val="000000" w:themeColor="text1"/>
          <w:lang w:val="vi-VN" w:eastAsia="vi-VN"/>
        </w:rPr>
        <w:lastRenderedPageBreak/>
        <w:t>này làm gia tăng tình trạng bất cân xứng thông tin giữa người tiêu dùng với tổ chức, cá nhân kinh doanh, đồng thời đặt ra các vấn đề mới về xác định chủ thể chịu trách nhiệm, pháp luật áp dụng, bảo vệ thông tin của người tiêu dùng, giải quyết khiếu nại, đổi trả hàng hóa và thực thi quyết định của cơ quan nhà nước đối với các giao dịch xuyên biên giới.</w:t>
      </w:r>
    </w:p>
    <w:p w14:paraId="7F255992"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Sự phát triển của các nền tảng số lớn, công nghệ trí tuệ nhân tạo, hệ thống đề xuất nội dung và quảng cáo dựa trên thuật toán cũng đang làm thay đổi sâu sắc cách thức người tiêu dùng tìm kiếm thông tin, lựa chọn và quyết định giao dịch. Trong bối cảnh đó, xu hướng quản lý trên thế giới là tăng cường trách nhiệm của tổ chức thiết lập, vận hành nền tảng số trong việc xác thực tổ chức, cá nhân kinh doanh; minh bạch tiêu chí ưu tiên hiển thị, quảng cáo hướng đích và việc sử dụng thuật toán; tiếp nhận, giải quyết phản ánh, khiếu nại; kiểm duyệt và xử lý nội dung vi phạm; đồng thời lưu giữ, cung cấp thông tin, dữ liệu cho cơ quan nhà nước có thẩm quyền. Yêu cầu bảo vệ người tiêu dùng dễ bị tổn thương, hạn chế việc lợi dụng dữ liệu và công nghệ để tác động không phù hợp đến quyết định của người tiêu dùng cũng ngày càng được quan tâm.</w:t>
      </w:r>
    </w:p>
    <w:p w14:paraId="56EA35B7"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Bên cạnh đó, sự mở rộng của chuỗi cung ứng và hoạt động phân phối hàng hóa trên phạm vi toàn cầu làm gia tăng số lượng sản phẩm, hàng hóa được sản xuất tại một quốc gia nhưng lưu thông, tiêu thụ đồng thời tại nhiều thị trường. Nhiều chương trình thu hồi sản phẩm, hàng hóa có khuyết tật được triển khai trên cơ sở cảnh báo, quyết định thu hồi hoặc chiến dịch khắc phục chung của nhà sản xuất và cơ quan có thẩm quyền tại nhiều quốc gia. Điều này đòi hỏi cơ chế tiếp nhận, kiểm chứng và chia sẻ kịp thời thông tin, cảnh báo từ cơ quan có thẩm quyền nước ngoài và các tổ chức quốc tế; đồng thời tăng cường phối hợp giữa cơ quan bảo vệ quyền lợi người tiêu dùng với cơ quan quản lý chuyên ngành, doanh nghiệp sản xuất, nhập khẩu và phân phối để xác định nhóm sản phẩm có khuyết tật, phạm vi ảnh hưởng và biện pháp thu hồi phù hợp.</w:t>
      </w:r>
    </w:p>
    <w:p w14:paraId="721B9B19"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Các phương thức giao kết hợp đồng với người tiêu dùng cũng ngày càng đa dạng, trong đó hợp đồng theo mẫu, điều kiện giao dịch chung thường được thiết lập và chấp thuận trên website, phần mềm ứng dụng hoặc thiết bị điện tử. Người tiêu dùng có thể phải tiếp nhận một khối lượng lớn thông tin trong thời gian ngắn, trong khi khả năng thương lượng, sửa đổi các điều khoản hợp đồng còn hạn chế. Bối cảnh này làm gia tăng yêu cầu bảo đảm nội dung hợp đồng rõ ràng, dễ hiểu, dễ tiếp cận; các điều khoản quan trọng được trình bày minh bạch; quy trình đổi, trả hàng hóa, chấm dứt giao dịch, giải quyết phản ánh và khiếu nại được công khai, cụ thể. Đồng thời, cơ quan quản lý cần có công cụ và dữ liệu cần thiết để kiểm soát hợp đồng theo mẫu, điều kiện giao dịch chung và xử lý kịp thời các điều khoản xâm phạm quyền lợi người tiêu dùng.</w:t>
      </w:r>
    </w:p>
    <w:p w14:paraId="281A0452"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Trong nước, việc sắp xếp tổ chức bộ máy, triển khai mô hình chính quyền địa phương 02 cấp và thực hiện Nghị định số 146/2025/NĐ-CP, Nghị định số 139/2025/NĐ-CP đã làm thay đổi thẩm quyền, phương thức tiếp nhận và xử lý một số nhiệm vụ trong lĩnh vực bảo vệ quyền lợi người tiêu dùng. Việc tiếp nhận, thẩm định hồ sơ đăng ký hợp đồng theo mẫu, điều kiện giao dịch chung được giao cho địa phương; đồng thời, việc thực hiện các quy định về bán hàng không tại địa điểm giao dịch thường xuyên cần được rà soát để phù hợp với mô hình chính quyền địa phương 02 cấp. Việc phân quyền, phân cấp đặt ra yêu cầu bảo đảm thống nhất về nghiệp vụ, dữ liệu, phối hợp xử lý và kết quả áp dụng pháp luật trên phạm vi toàn quốc.</w:t>
      </w:r>
    </w:p>
    <w:p w14:paraId="0924898C"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Bên cạnh đó, Dự án Luật sửa đổi, bổ sung một số điều của Luật Thương mại, Luật Cạnh tranh, Luật Quản lý ngoại thương và Luật Bảo vệ quyền lợi người tiêu dùng dự kiến điều chỉnh thẩm quyền ban hành Danh mục sản phẩm, hàng hóa, dịch vụ phải đăng ký hợp đồng theo mẫu, điều kiện giao dịch chung; thẩm quyền tiếp nhận, thẩm định hồ sơ đăng ký hợp đồng theo mẫu, điều kiện giao dịch chung; đồng thời giao Bộ trưởng Bộ Công Thương quy định chi tiết một số nội dung của Luật Bảo vệ quyền lợi người tiêu dùng. Những điều chỉnh này làm thay đổi căn cứ pháp lý và thẩm quyền quy định đối với một số nội dung hiện đang được điều chỉnh tại Nghị định số 55/2024/NĐ-CP, qua đó đặt ra yêu cầu phải kịp thời xây dựng văn bản quy định chi tiết thuộc thẩm quyền của Bộ trưởng Bộ Công Thương, bảo đảm tính thống nhất, đồng bộ của hệ thống pháp luật và sự liên tục trong tổ chức thực hiện.</w:t>
      </w:r>
    </w:p>
    <w:p w14:paraId="59BD6579" w14:textId="77777777" w:rsidR="00A44FA8" w:rsidRPr="00A44FA8" w:rsidRDefault="00A44FA8" w:rsidP="00A44FA8">
      <w:pPr>
        <w:pStyle w:val="n-dieund"/>
        <w:snapToGrid w:val="0"/>
        <w:spacing w:before="120"/>
        <w:ind w:firstLine="720"/>
        <w:rPr>
          <w:rFonts w:eastAsia="Courier New"/>
          <w:color w:val="000000" w:themeColor="text1"/>
          <w:lang w:val="vi-VN" w:eastAsia="vi-VN"/>
        </w:rPr>
      </w:pPr>
      <w:r w:rsidRPr="00A44FA8">
        <w:rPr>
          <w:rFonts w:eastAsia="Courier New"/>
          <w:color w:val="000000" w:themeColor="text1"/>
          <w:lang w:val="vi-VN" w:eastAsia="vi-VN"/>
        </w:rPr>
        <w:t>Trong bối cảnh đó, việc tổng kết nhằm đánh giá kết quả, khó khăn, vướng mắc trong tổ chức thực hiện các quy định liên quan đến dự thảo Thông tư quy định chi tiết một số điều của Luật Bảo vệ quyền lợi người tiêu dùng được kế thừa từ Nghị định số 55/2024/NĐ-CP; xác định nội dung cần kế thừa, sửa đổi, bổ sung; đồng thời làm cơ sở rà soát, sửa đổi hoặc bãi bỏ các điều, khoản tương ứng của Nghị định số 55/2024/NĐ-CP, bảo đảm thực hiện chủ trương phân cấp, phân quyền, đáp ứng yêu cầu bảo vệ người tiêu dùng trong bối cảnh phát triển của kinh tế số, giao dịch xuyên biên giới và không làm phát sinh khoảng trống pháp lý trong quá trình chuyển tiếp.Trong nước, việc sắp xếp tổ chức bộ máy, triển khai mô hình chính quyền địa phương 02 cấp và thực hiện Nghị định số 146/2025/NĐ-CP, Nghị định số 139/2025/NĐ-CP đã làm thay đổi thẩm quyền, phương thức tiếp nhận và xử lý một số nhiệm vụ trong lĩnh vực bảo vệ quyền lợi người tiêu dùng. Việc tiếp nhận, thẩm định hồ sơ đăng ký hợp đồng theo mẫu, điều kiện giao dịch chung được giao cho địa phương; đồng thời, việc thực hiện các quy định về bán hàng không tại địa điểm giao dịch thường xuyên cần được rà soát phù hợp với mô hình chính quyền địa phương 02 cấp. Việc phân quyền, phân cấp đặt ra yêu cầu bảo đảm thống nhất về nghiệp vụ, dữ liệu, phối hợp xử lý và kết quả áp dụng pháp luật trên phạm vi toàn quốc.</w:t>
      </w:r>
    </w:p>
    <w:p w14:paraId="3DCDDAA8" w14:textId="340213A0" w:rsidR="0036193C" w:rsidRDefault="00A44FA8" w:rsidP="00A44FA8">
      <w:pPr>
        <w:pStyle w:val="n-dieund"/>
        <w:snapToGrid w:val="0"/>
        <w:spacing w:before="120"/>
        <w:ind w:firstLine="720"/>
      </w:pPr>
      <w:r w:rsidRPr="00A44FA8">
        <w:rPr>
          <w:rFonts w:eastAsia="Courier New"/>
          <w:color w:val="000000" w:themeColor="text1"/>
          <w:lang w:val="vi-VN" w:eastAsia="vi-VN"/>
        </w:rPr>
        <w:t>Trong bối cảnh đó, việc tổng kết nhằm đánh giá kết quả, khó khăn, vướng mắc trong tổ chức thực hiện các quy định liên quan đến dự thảo Thông tư quy định chi tiết mốt số điều của Luật Bảo vệ quyền lợi người tiêu dùng được kế thừa từ Nghị định số 55/2024/NĐ-CP; xác định nội dung cần kế thừa, sửa đổi, bổ sung; đồng thời làm cơ sở rà soát, sửa đổi hoặc bãi bỏ các điều, khoản tương ứng của Nghị định số 55/2024/NĐ-CP, bảo đảm thực hiện chủ trương phân cấp, phân quyền và tránh phát sinh khoảng trống pháp lý trong quá trình chuyển tiếp</w:t>
      </w:r>
      <w:r w:rsidR="0036193C" w:rsidRPr="00777892">
        <w:t>.</w:t>
      </w:r>
    </w:p>
    <w:p w14:paraId="4EB7B6C4" w14:textId="77777777" w:rsidR="00A44FA8" w:rsidRPr="0036193C" w:rsidRDefault="00A44FA8" w:rsidP="00A44FA8">
      <w:pPr>
        <w:pStyle w:val="n-dieund"/>
        <w:snapToGrid w:val="0"/>
        <w:spacing w:before="120"/>
        <w:ind w:firstLine="720"/>
        <w:rPr>
          <w:color w:val="auto"/>
          <w:lang w:val="vi-VN"/>
        </w:rPr>
      </w:pPr>
    </w:p>
    <w:p w14:paraId="753EB700" w14:textId="77777777" w:rsidR="00552AE7" w:rsidRPr="00552AE7" w:rsidRDefault="00552AE7" w:rsidP="008745D9">
      <w:pPr>
        <w:adjustRightInd w:val="0"/>
        <w:snapToGrid w:val="0"/>
        <w:spacing w:before="120" w:after="120" w:line="276" w:lineRule="auto"/>
        <w:ind w:firstLine="720"/>
        <w:jc w:val="both"/>
        <w:rPr>
          <w:rFonts w:ascii="Times New Roman" w:hAnsi="Times New Roman" w:cs="Times New Roman"/>
          <w:b/>
          <w:bCs/>
          <w:color w:val="000000" w:themeColor="text1"/>
          <w:sz w:val="28"/>
          <w:szCs w:val="28"/>
        </w:rPr>
      </w:pPr>
      <w:bookmarkStart w:id="2" w:name="bookmark1157"/>
      <w:bookmarkEnd w:id="2"/>
      <w:r w:rsidRPr="00552AE7">
        <w:rPr>
          <w:rFonts w:ascii="Times New Roman" w:hAnsi="Times New Roman" w:cs="Times New Roman"/>
          <w:b/>
          <w:bCs/>
          <w:color w:val="000000" w:themeColor="text1"/>
          <w:sz w:val="28"/>
          <w:szCs w:val="28"/>
        </w:rPr>
        <w:t>2. Mục đích, yêu cầu đánh giá</w:t>
      </w:r>
    </w:p>
    <w:p w14:paraId="3CF8FBBF" w14:textId="0693E1B3" w:rsidR="008745D9" w:rsidRPr="007363A9" w:rsidRDefault="00552AE7" w:rsidP="001E64F3">
      <w:pPr>
        <w:adjustRightInd w:val="0"/>
        <w:snapToGrid w:val="0"/>
        <w:spacing w:before="120" w:after="240"/>
        <w:ind w:firstLine="720"/>
        <w:jc w:val="both"/>
        <w:rPr>
          <w:rFonts w:ascii="Times New Roman" w:hAnsi="Times New Roman" w:cs="Times New Roman"/>
          <w:color w:val="000000" w:themeColor="text1"/>
          <w:sz w:val="28"/>
          <w:szCs w:val="28"/>
        </w:rPr>
      </w:pPr>
      <w:r w:rsidRPr="00552AE7">
        <w:rPr>
          <w:rFonts w:ascii="Times New Roman" w:hAnsi="Times New Roman" w:cs="Times New Roman"/>
          <w:color w:val="000000" w:themeColor="text1"/>
          <w:sz w:val="28"/>
          <w:szCs w:val="28"/>
          <w:lang w:val="en-US"/>
        </w:rPr>
        <w:t>B</w:t>
      </w:r>
      <w:r w:rsidR="0036193C">
        <w:rPr>
          <w:rFonts w:ascii="Times New Roman" w:hAnsi="Times New Roman" w:cs="Times New Roman"/>
          <w:color w:val="000000" w:themeColor="text1"/>
          <w:sz w:val="28"/>
          <w:szCs w:val="28"/>
        </w:rPr>
        <w:t>ộ</w:t>
      </w:r>
      <w:r w:rsidRPr="00552AE7">
        <w:rPr>
          <w:rFonts w:ascii="Times New Roman" w:hAnsi="Times New Roman" w:cs="Times New Roman"/>
          <w:color w:val="000000" w:themeColor="text1"/>
          <w:sz w:val="28"/>
          <w:szCs w:val="28"/>
          <w:lang w:val="en-US"/>
        </w:rPr>
        <w:t xml:space="preserve"> Công Thương đã tiến hành đánh đánh giá thủ tục hành chính được sửa đổi, bổ sung trong Dự thảo Nghị định đảm bảo tuân thủ chỉ đạo của Đảng và Chính phủ, đánh giá việc phân cấp tại Dự thảo Nghị định cũng như đánh giá việc ứng dụng, thúc đẩy phát triển khoa học, công nghệ, đổi mới sáng tạo, chuyển đổi số, đảm bảo bình đẳng giới trong Hồ sơ Dự thảo Nghị định. </w:t>
      </w:r>
    </w:p>
    <w:p w14:paraId="36DEAD40" w14:textId="77777777" w:rsidR="00552AE7" w:rsidRPr="00552AE7" w:rsidRDefault="00552AE7" w:rsidP="001E64F3">
      <w:pPr>
        <w:adjustRightInd w:val="0"/>
        <w:snapToGrid w:val="0"/>
        <w:spacing w:before="120" w:after="240"/>
        <w:ind w:firstLine="720"/>
        <w:jc w:val="both"/>
        <w:rPr>
          <w:rFonts w:ascii="Times New Roman" w:hAnsi="Times New Roman" w:cs="Times New Roman"/>
          <w:color w:val="000000" w:themeColor="text1"/>
          <w:sz w:val="28"/>
          <w:szCs w:val="28"/>
        </w:rPr>
      </w:pPr>
      <w:r w:rsidRPr="00552AE7">
        <w:rPr>
          <w:rFonts w:ascii="Times New Roman" w:hAnsi="Times New Roman" w:cs="Times New Roman"/>
          <w:b/>
          <w:bCs/>
          <w:color w:val="000000" w:themeColor="text1"/>
          <w:sz w:val="28"/>
          <w:szCs w:val="28"/>
        </w:rPr>
        <w:t>II. KẾT QUẢ ĐÁNH GIÁ</w:t>
      </w:r>
    </w:p>
    <w:p w14:paraId="26ADCC5D" w14:textId="5FC116A1" w:rsidR="007363A9" w:rsidRPr="007363A9" w:rsidRDefault="007363A9" w:rsidP="001E64F3">
      <w:pPr>
        <w:widowControl/>
        <w:shd w:val="clear" w:color="auto" w:fill="FFFFFF"/>
        <w:spacing w:before="120" w:after="240"/>
        <w:ind w:firstLine="720"/>
        <w:rPr>
          <w:rFonts w:ascii="Times New Roman" w:eastAsia="Times New Roman" w:hAnsi="Times New Roman" w:cs="Times New Roman"/>
          <w:color w:val="auto"/>
          <w:lang w:eastAsia="en-US"/>
        </w:rPr>
      </w:pPr>
      <w:bookmarkStart w:id="3" w:name="bookmark1160"/>
      <w:bookmarkEnd w:id="3"/>
      <w:r w:rsidRPr="007363A9">
        <w:rPr>
          <w:rFonts w:ascii="Times New Roman" w:eastAsia="Times New Roman" w:hAnsi="Times New Roman" w:cs="Times New Roman"/>
          <w:b/>
          <w:bCs/>
          <w:sz w:val="28"/>
          <w:szCs w:val="28"/>
          <w:lang w:eastAsia="en-US"/>
        </w:rPr>
        <w:t>Đánh giá thủ tục hành chính (nếu trong dự thảo văn bản có quy định thủ tục hành chính) </w:t>
      </w:r>
    </w:p>
    <w:p w14:paraId="7485E4A6" w14:textId="7F39D3CF" w:rsidR="007363A9" w:rsidRPr="000A37AA" w:rsidRDefault="00241037" w:rsidP="000A37AA">
      <w:pPr>
        <w:widowControl/>
        <w:shd w:val="clear" w:color="auto" w:fill="FFFFFF"/>
        <w:spacing w:before="120" w:after="240"/>
        <w:ind w:firstLine="720"/>
        <w:jc w:val="both"/>
        <w:rPr>
          <w:rFonts w:ascii="Times New Roman" w:eastAsia="Times New Roman" w:hAnsi="Times New Roman" w:cs="Times New Roman"/>
          <w:color w:val="auto"/>
          <w:lang w:val="en-US" w:eastAsia="en-US"/>
        </w:rPr>
      </w:pPr>
      <w:r>
        <w:rPr>
          <w:rFonts w:ascii="Times New Roman" w:eastAsia="Times New Roman" w:hAnsi="Times New Roman" w:cs="Times New Roman"/>
          <w:sz w:val="28"/>
          <w:szCs w:val="28"/>
          <w:lang w:eastAsia="en-US"/>
        </w:rPr>
        <w:t xml:space="preserve">- </w:t>
      </w:r>
      <w:r w:rsidR="007363A9" w:rsidRPr="007363A9">
        <w:rPr>
          <w:rFonts w:ascii="Times New Roman" w:eastAsia="Times New Roman" w:hAnsi="Times New Roman" w:cs="Times New Roman"/>
          <w:sz w:val="28"/>
          <w:szCs w:val="28"/>
          <w:lang w:eastAsia="en-US"/>
        </w:rPr>
        <w:t>Thủ tục hành chính hiện hành được sửa đổi, bổ sung: 0</w:t>
      </w:r>
      <w:r w:rsidR="000A37AA">
        <w:rPr>
          <w:rFonts w:ascii="Times New Roman" w:eastAsia="Times New Roman" w:hAnsi="Times New Roman" w:cs="Times New Roman"/>
          <w:sz w:val="28"/>
          <w:szCs w:val="28"/>
          <w:lang w:val="en-US" w:eastAsia="en-US"/>
        </w:rPr>
        <w:t>3</w:t>
      </w:r>
      <w:r w:rsidR="007363A9" w:rsidRPr="007363A9">
        <w:rPr>
          <w:rFonts w:ascii="Times New Roman" w:eastAsia="Times New Roman" w:hAnsi="Times New Roman" w:cs="Times New Roman"/>
          <w:sz w:val="28"/>
          <w:szCs w:val="28"/>
          <w:lang w:eastAsia="en-US"/>
        </w:rPr>
        <w:t xml:space="preserve"> thủ tục</w:t>
      </w:r>
      <w:r w:rsidR="000A37AA">
        <w:rPr>
          <w:rFonts w:ascii="Times New Roman" w:eastAsia="Times New Roman" w:hAnsi="Times New Roman" w:cs="Times New Roman"/>
          <w:sz w:val="28"/>
          <w:szCs w:val="28"/>
          <w:lang w:val="en-US" w:eastAsia="en-US"/>
        </w:rPr>
        <w:t xml:space="preserve"> gồm thủ tục cấp giấy chứng nhận, thủ tục sửa đổi, bổ sung giấy chứng nhận, thủ tục gia hạn giấy chứng nhận đăng ký hoạt động bán hàng đa cấp. Nội dung sửa đổi, bổ sung liên quan đến trình tự, thủ tục thực hiện 03 thủ tục trên, cụ thể “Trình tự, thủ tục cấp, sửa đổi bổ sung, gia hạn giấy chứng nhận đăng ký hoạt động bán hàng đa cấp” do đó thay đổi do bãi bỏ tiền phí thẩm định sẽ tác động đến 03 thủ tục trên. </w:t>
      </w:r>
    </w:p>
    <w:p w14:paraId="4FA19E7A" w14:textId="15C2571D" w:rsidR="007363A9" w:rsidRDefault="007363A9" w:rsidP="000A37AA">
      <w:pPr>
        <w:widowControl/>
        <w:shd w:val="clear" w:color="auto" w:fill="FFFFFF"/>
        <w:spacing w:before="120" w:after="240"/>
        <w:ind w:firstLine="720"/>
        <w:jc w:val="both"/>
        <w:rPr>
          <w:rFonts w:ascii="Times New Roman" w:eastAsia="Times New Roman" w:hAnsi="Times New Roman" w:cs="Times New Roman"/>
          <w:sz w:val="28"/>
          <w:szCs w:val="28"/>
          <w:lang w:eastAsia="en-US"/>
        </w:rPr>
      </w:pPr>
      <w:r w:rsidRPr="007363A9">
        <w:rPr>
          <w:rFonts w:ascii="Times New Roman" w:eastAsia="Times New Roman" w:hAnsi="Times New Roman" w:cs="Times New Roman"/>
          <w:sz w:val="28"/>
          <w:szCs w:val="28"/>
          <w:lang w:eastAsia="en-US"/>
        </w:rPr>
        <w:t xml:space="preserve">Tên </w:t>
      </w:r>
      <w:r w:rsidR="000A37AA">
        <w:rPr>
          <w:rFonts w:ascii="Times New Roman" w:eastAsia="Times New Roman" w:hAnsi="Times New Roman" w:cs="Times New Roman"/>
          <w:sz w:val="28"/>
          <w:szCs w:val="28"/>
          <w:lang w:val="en-US" w:eastAsia="en-US"/>
        </w:rPr>
        <w:t>quy định điều chỉnh</w:t>
      </w:r>
      <w:r w:rsidRPr="007363A9">
        <w:rPr>
          <w:rFonts w:ascii="Times New Roman" w:eastAsia="Times New Roman" w:hAnsi="Times New Roman" w:cs="Times New Roman"/>
          <w:sz w:val="28"/>
          <w:szCs w:val="28"/>
          <w:lang w:eastAsia="en-US"/>
        </w:rPr>
        <w:t xml:space="preserve">: </w:t>
      </w:r>
      <w:r w:rsidR="0030674B">
        <w:rPr>
          <w:rFonts w:ascii="Times New Roman" w:eastAsia="Times New Roman" w:hAnsi="Times New Roman" w:cs="Times New Roman"/>
          <w:sz w:val="28"/>
          <w:szCs w:val="28"/>
          <w:lang w:eastAsia="en-US"/>
        </w:rPr>
        <w:t>T</w:t>
      </w:r>
      <w:r w:rsidR="0030674B" w:rsidRPr="0030674B">
        <w:rPr>
          <w:rFonts w:ascii="Times New Roman" w:eastAsia="Times New Roman" w:hAnsi="Times New Roman" w:cs="Times New Roman"/>
          <w:sz w:val="28"/>
          <w:szCs w:val="28"/>
          <w:lang w:eastAsia="en-US"/>
        </w:rPr>
        <w:t>hủ tục cấp, sửa đổi bổ sung, gia hạn giấy chứng nhận đăng ký hoạt động bán hàng đa cấp</w:t>
      </w:r>
      <w:r w:rsidR="0030674B">
        <w:rPr>
          <w:rFonts w:ascii="Times New Roman" w:eastAsia="Times New Roman" w:hAnsi="Times New Roman" w:cs="Times New Roman"/>
          <w:sz w:val="28"/>
          <w:szCs w:val="28"/>
          <w:lang w:eastAsia="en-US"/>
        </w:rPr>
        <w:t>.</w:t>
      </w:r>
    </w:p>
    <w:p w14:paraId="5B949E48" w14:textId="518AE4C6" w:rsidR="000A37AA" w:rsidRDefault="000A37AA" w:rsidP="000A37AA">
      <w:pPr>
        <w:widowControl/>
        <w:shd w:val="clear" w:color="auto" w:fill="FFFFFF"/>
        <w:spacing w:before="120" w:after="240"/>
        <w:ind w:firstLine="720"/>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Chi phí tuân thủ thủ tục hành chính sau khi cắt giảm, đơn giản hóa được tổng hợp, tính toán như sau:</w:t>
      </w:r>
    </w:p>
    <w:tbl>
      <w:tblPr>
        <w:tblW w:w="5000" w:type="pct"/>
        <w:tblLook w:val="04A0" w:firstRow="1" w:lastRow="0" w:firstColumn="1" w:lastColumn="0" w:noHBand="0" w:noVBand="1"/>
      </w:tblPr>
      <w:tblGrid>
        <w:gridCol w:w="746"/>
        <w:gridCol w:w="2121"/>
        <w:gridCol w:w="1616"/>
        <w:gridCol w:w="1670"/>
        <w:gridCol w:w="1476"/>
        <w:gridCol w:w="1432"/>
      </w:tblGrid>
      <w:tr w:rsidR="000A37AA" w:rsidRPr="000A37AA" w14:paraId="7FF7040E" w14:textId="77777777" w:rsidTr="00A44FA8">
        <w:trPr>
          <w:trHeight w:val="750"/>
        </w:trPr>
        <w:tc>
          <w:tcPr>
            <w:tcW w:w="2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E4FE2D" w14:textId="77777777" w:rsidR="000A37AA" w:rsidRPr="00A44FA8" w:rsidRDefault="000A37AA" w:rsidP="00A44FA8">
            <w:pPr>
              <w:widowControl/>
              <w:jc w:val="center"/>
              <w:rPr>
                <w:rFonts w:ascii="Times New Roman" w:eastAsia="Times New Roman" w:hAnsi="Times New Roman" w:cs="Times New Roman"/>
                <w:b/>
                <w:sz w:val="28"/>
                <w:szCs w:val="28"/>
                <w:lang w:val="en-US" w:eastAsia="en-US"/>
              </w:rPr>
            </w:pPr>
            <w:r w:rsidRPr="00A44FA8">
              <w:rPr>
                <w:rFonts w:ascii="Times New Roman" w:eastAsia="Times New Roman" w:hAnsi="Times New Roman" w:cs="Times New Roman"/>
                <w:b/>
                <w:sz w:val="28"/>
                <w:szCs w:val="28"/>
                <w:lang w:val="en-US" w:eastAsia="en-US"/>
              </w:rPr>
              <w:t>STT</w:t>
            </w:r>
          </w:p>
        </w:tc>
        <w:tc>
          <w:tcPr>
            <w:tcW w:w="127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F7E801" w14:textId="77777777" w:rsidR="000A37AA" w:rsidRPr="00A44FA8" w:rsidRDefault="000A37AA" w:rsidP="00A44FA8">
            <w:pPr>
              <w:widowControl/>
              <w:jc w:val="center"/>
              <w:rPr>
                <w:rFonts w:ascii="Times New Roman" w:eastAsia="Times New Roman" w:hAnsi="Times New Roman" w:cs="Times New Roman"/>
                <w:b/>
                <w:sz w:val="28"/>
                <w:szCs w:val="28"/>
                <w:lang w:val="en-US" w:eastAsia="en-US"/>
              </w:rPr>
            </w:pPr>
            <w:r w:rsidRPr="00A44FA8">
              <w:rPr>
                <w:rFonts w:ascii="Times New Roman" w:eastAsia="Times New Roman" w:hAnsi="Times New Roman" w:cs="Times New Roman"/>
                <w:b/>
                <w:sz w:val="28"/>
                <w:szCs w:val="28"/>
                <w:lang w:val="en-US" w:eastAsia="en-US"/>
              </w:rPr>
              <w:t>Tên thủ tục hành chính bị tác động</w:t>
            </w:r>
          </w:p>
        </w:tc>
        <w:tc>
          <w:tcPr>
            <w:tcW w:w="63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8C382B" w14:textId="77777777" w:rsidR="000A37AA" w:rsidRPr="00A44FA8" w:rsidRDefault="000A37AA" w:rsidP="00A44FA8">
            <w:pPr>
              <w:widowControl/>
              <w:jc w:val="center"/>
              <w:rPr>
                <w:rFonts w:ascii="Times New Roman" w:eastAsia="Times New Roman" w:hAnsi="Times New Roman" w:cs="Times New Roman"/>
                <w:b/>
                <w:sz w:val="28"/>
                <w:szCs w:val="28"/>
                <w:lang w:val="en-US" w:eastAsia="en-US"/>
              </w:rPr>
            </w:pPr>
            <w:r w:rsidRPr="00A44FA8">
              <w:rPr>
                <w:rFonts w:ascii="Times New Roman" w:eastAsia="Times New Roman" w:hAnsi="Times New Roman" w:cs="Times New Roman"/>
                <w:b/>
                <w:sz w:val="28"/>
                <w:szCs w:val="28"/>
                <w:lang w:val="en-US" w:eastAsia="en-US"/>
              </w:rPr>
              <w:t>Chi phí hiện hành (đồng)</w:t>
            </w:r>
          </w:p>
        </w:tc>
        <w:tc>
          <w:tcPr>
            <w:tcW w:w="102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53A03C" w14:textId="77777777" w:rsidR="000A37AA" w:rsidRPr="00A44FA8" w:rsidRDefault="000A37AA" w:rsidP="00A44FA8">
            <w:pPr>
              <w:widowControl/>
              <w:jc w:val="center"/>
              <w:rPr>
                <w:rFonts w:ascii="Times New Roman" w:eastAsia="Times New Roman" w:hAnsi="Times New Roman" w:cs="Times New Roman"/>
                <w:b/>
                <w:sz w:val="28"/>
                <w:szCs w:val="28"/>
                <w:lang w:val="en-US" w:eastAsia="en-US"/>
              </w:rPr>
            </w:pPr>
            <w:r w:rsidRPr="00A44FA8">
              <w:rPr>
                <w:rFonts w:ascii="Times New Roman" w:eastAsia="Times New Roman" w:hAnsi="Times New Roman" w:cs="Times New Roman"/>
                <w:b/>
                <w:sz w:val="28"/>
                <w:szCs w:val="28"/>
                <w:lang w:val="en-US" w:eastAsia="en-US"/>
              </w:rPr>
              <w:t>Chi phí sau khi cắt giảm, đơn giản hóa (đồng)</w:t>
            </w:r>
          </w:p>
        </w:tc>
        <w:tc>
          <w:tcPr>
            <w:tcW w:w="89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371D19" w14:textId="77777777" w:rsidR="000A37AA" w:rsidRPr="00A44FA8" w:rsidRDefault="000A37AA" w:rsidP="00A44FA8">
            <w:pPr>
              <w:widowControl/>
              <w:jc w:val="center"/>
              <w:rPr>
                <w:rFonts w:ascii="Times New Roman" w:eastAsia="Times New Roman" w:hAnsi="Times New Roman" w:cs="Times New Roman"/>
                <w:b/>
                <w:sz w:val="28"/>
                <w:szCs w:val="28"/>
                <w:lang w:val="en-US" w:eastAsia="en-US"/>
              </w:rPr>
            </w:pPr>
            <w:r w:rsidRPr="00A44FA8">
              <w:rPr>
                <w:rFonts w:ascii="Times New Roman" w:eastAsia="Times New Roman" w:hAnsi="Times New Roman" w:cs="Times New Roman"/>
                <w:b/>
                <w:sz w:val="28"/>
                <w:szCs w:val="28"/>
                <w:lang w:val="en-US" w:eastAsia="en-US"/>
              </w:rPr>
              <w:t>Số tiền cắt giảm (đồng)</w:t>
            </w:r>
          </w:p>
        </w:tc>
        <w:tc>
          <w:tcPr>
            <w:tcW w:w="90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64394C" w14:textId="77777777" w:rsidR="000A37AA" w:rsidRPr="00A44FA8" w:rsidRDefault="000A37AA" w:rsidP="00A44FA8">
            <w:pPr>
              <w:widowControl/>
              <w:jc w:val="center"/>
              <w:rPr>
                <w:rFonts w:ascii="Times New Roman" w:eastAsia="Times New Roman" w:hAnsi="Times New Roman" w:cs="Times New Roman"/>
                <w:b/>
                <w:sz w:val="28"/>
                <w:szCs w:val="28"/>
                <w:lang w:val="en-US" w:eastAsia="en-US"/>
              </w:rPr>
            </w:pPr>
            <w:r w:rsidRPr="00A44FA8">
              <w:rPr>
                <w:rFonts w:ascii="Times New Roman" w:eastAsia="Times New Roman" w:hAnsi="Times New Roman" w:cs="Times New Roman"/>
                <w:b/>
                <w:sz w:val="28"/>
                <w:szCs w:val="28"/>
                <w:lang w:val="en-US" w:eastAsia="en-US"/>
              </w:rPr>
              <w:t>Tỷ lệ cắt giảm chi phí tuân thủ (%)</w:t>
            </w:r>
          </w:p>
        </w:tc>
      </w:tr>
      <w:tr w:rsidR="000A37AA" w:rsidRPr="000A37AA" w14:paraId="65C005F8" w14:textId="77777777" w:rsidTr="00A44FA8">
        <w:trPr>
          <w:trHeight w:val="375"/>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4263790F" w14:textId="77777777" w:rsidR="000A37AA" w:rsidRPr="000A37AA" w:rsidRDefault="000A37AA" w:rsidP="00A44FA8">
            <w:pPr>
              <w:widowControl/>
              <w:jc w:val="center"/>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1</w:t>
            </w:r>
          </w:p>
        </w:tc>
        <w:tc>
          <w:tcPr>
            <w:tcW w:w="1271" w:type="pct"/>
            <w:tcBorders>
              <w:top w:val="nil"/>
              <w:left w:val="nil"/>
              <w:bottom w:val="single" w:sz="4" w:space="0" w:color="auto"/>
              <w:right w:val="single" w:sz="4" w:space="0" w:color="auto"/>
            </w:tcBorders>
            <w:shd w:val="clear" w:color="auto" w:fill="auto"/>
            <w:vAlign w:val="bottom"/>
            <w:hideMark/>
          </w:tcPr>
          <w:p w14:paraId="7D28048B" w14:textId="77777777" w:rsidR="000A37AA" w:rsidRPr="000A37AA" w:rsidRDefault="000A37AA" w:rsidP="000A37AA">
            <w:pPr>
              <w:widowControl/>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Cấp GCN đăng ký hoạt động BHĐC</w:t>
            </w:r>
          </w:p>
        </w:tc>
        <w:tc>
          <w:tcPr>
            <w:tcW w:w="630" w:type="pct"/>
            <w:tcBorders>
              <w:top w:val="nil"/>
              <w:left w:val="nil"/>
              <w:bottom w:val="single" w:sz="4" w:space="0" w:color="auto"/>
              <w:right w:val="single" w:sz="4" w:space="0" w:color="auto"/>
            </w:tcBorders>
            <w:shd w:val="clear" w:color="auto" w:fill="auto"/>
            <w:vAlign w:val="bottom"/>
            <w:hideMark/>
          </w:tcPr>
          <w:p w14:paraId="03434F5F"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87.186.941</w:t>
            </w:r>
          </w:p>
        </w:tc>
        <w:tc>
          <w:tcPr>
            <w:tcW w:w="1022" w:type="pct"/>
            <w:tcBorders>
              <w:top w:val="nil"/>
              <w:left w:val="nil"/>
              <w:bottom w:val="single" w:sz="4" w:space="0" w:color="auto"/>
              <w:right w:val="single" w:sz="4" w:space="0" w:color="auto"/>
            </w:tcBorders>
            <w:shd w:val="clear" w:color="auto" w:fill="auto"/>
            <w:vAlign w:val="bottom"/>
            <w:hideMark/>
          </w:tcPr>
          <w:p w14:paraId="4848A130"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27.186.941</w:t>
            </w:r>
          </w:p>
        </w:tc>
        <w:tc>
          <w:tcPr>
            <w:tcW w:w="897" w:type="pct"/>
            <w:tcBorders>
              <w:top w:val="nil"/>
              <w:left w:val="nil"/>
              <w:bottom w:val="single" w:sz="4" w:space="0" w:color="auto"/>
              <w:right w:val="single" w:sz="4" w:space="0" w:color="auto"/>
            </w:tcBorders>
            <w:shd w:val="clear" w:color="auto" w:fill="auto"/>
            <w:vAlign w:val="bottom"/>
            <w:hideMark/>
          </w:tcPr>
          <w:p w14:paraId="255C98B1"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60.000.000</w:t>
            </w:r>
          </w:p>
        </w:tc>
        <w:tc>
          <w:tcPr>
            <w:tcW w:w="908" w:type="pct"/>
            <w:tcBorders>
              <w:top w:val="nil"/>
              <w:left w:val="nil"/>
              <w:bottom w:val="single" w:sz="4" w:space="0" w:color="auto"/>
              <w:right w:val="single" w:sz="4" w:space="0" w:color="auto"/>
            </w:tcBorders>
            <w:shd w:val="clear" w:color="auto" w:fill="auto"/>
            <w:vAlign w:val="bottom"/>
            <w:hideMark/>
          </w:tcPr>
          <w:p w14:paraId="6C5A7825"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68.82%</w:t>
            </w:r>
          </w:p>
        </w:tc>
      </w:tr>
      <w:tr w:rsidR="000A37AA" w:rsidRPr="000A37AA" w14:paraId="1C085E8D" w14:textId="77777777" w:rsidTr="00A44FA8">
        <w:trPr>
          <w:trHeight w:val="7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12B1F5E8" w14:textId="77777777" w:rsidR="000A37AA" w:rsidRPr="000A37AA" w:rsidRDefault="000A37AA" w:rsidP="00A44FA8">
            <w:pPr>
              <w:widowControl/>
              <w:jc w:val="center"/>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2</w:t>
            </w:r>
          </w:p>
        </w:tc>
        <w:tc>
          <w:tcPr>
            <w:tcW w:w="1271" w:type="pct"/>
            <w:tcBorders>
              <w:top w:val="nil"/>
              <w:left w:val="nil"/>
              <w:bottom w:val="single" w:sz="4" w:space="0" w:color="auto"/>
              <w:right w:val="single" w:sz="4" w:space="0" w:color="auto"/>
            </w:tcBorders>
            <w:shd w:val="clear" w:color="auto" w:fill="auto"/>
            <w:vAlign w:val="bottom"/>
            <w:hideMark/>
          </w:tcPr>
          <w:p w14:paraId="50336D98" w14:textId="77777777" w:rsidR="000A37AA" w:rsidRPr="000A37AA" w:rsidRDefault="000A37AA" w:rsidP="000A37AA">
            <w:pPr>
              <w:widowControl/>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Sửa đổi, bổ sung GCN đăng ký hoạt động BHĐC</w:t>
            </w:r>
          </w:p>
        </w:tc>
        <w:tc>
          <w:tcPr>
            <w:tcW w:w="630" w:type="pct"/>
            <w:tcBorders>
              <w:top w:val="nil"/>
              <w:left w:val="nil"/>
              <w:bottom w:val="single" w:sz="4" w:space="0" w:color="auto"/>
              <w:right w:val="single" w:sz="4" w:space="0" w:color="auto"/>
            </w:tcBorders>
            <w:shd w:val="clear" w:color="auto" w:fill="auto"/>
            <w:vAlign w:val="bottom"/>
            <w:hideMark/>
          </w:tcPr>
          <w:p w14:paraId="60002F6B"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137.622.096</w:t>
            </w:r>
          </w:p>
        </w:tc>
        <w:tc>
          <w:tcPr>
            <w:tcW w:w="1022" w:type="pct"/>
            <w:tcBorders>
              <w:top w:val="nil"/>
              <w:left w:val="nil"/>
              <w:bottom w:val="single" w:sz="4" w:space="0" w:color="auto"/>
              <w:right w:val="single" w:sz="4" w:space="0" w:color="auto"/>
            </w:tcBorders>
            <w:shd w:val="clear" w:color="auto" w:fill="auto"/>
            <w:vAlign w:val="bottom"/>
            <w:hideMark/>
          </w:tcPr>
          <w:p w14:paraId="0227F57D"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47.622.096</w:t>
            </w:r>
          </w:p>
        </w:tc>
        <w:tc>
          <w:tcPr>
            <w:tcW w:w="897" w:type="pct"/>
            <w:tcBorders>
              <w:top w:val="nil"/>
              <w:left w:val="nil"/>
              <w:bottom w:val="single" w:sz="4" w:space="0" w:color="auto"/>
              <w:right w:val="single" w:sz="4" w:space="0" w:color="auto"/>
            </w:tcBorders>
            <w:shd w:val="clear" w:color="auto" w:fill="auto"/>
            <w:vAlign w:val="bottom"/>
            <w:hideMark/>
          </w:tcPr>
          <w:p w14:paraId="5201792D"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90.000.000</w:t>
            </w:r>
          </w:p>
        </w:tc>
        <w:tc>
          <w:tcPr>
            <w:tcW w:w="908" w:type="pct"/>
            <w:tcBorders>
              <w:top w:val="nil"/>
              <w:left w:val="nil"/>
              <w:bottom w:val="single" w:sz="4" w:space="0" w:color="auto"/>
              <w:right w:val="single" w:sz="4" w:space="0" w:color="auto"/>
            </w:tcBorders>
            <w:shd w:val="clear" w:color="auto" w:fill="auto"/>
            <w:vAlign w:val="bottom"/>
            <w:hideMark/>
          </w:tcPr>
          <w:p w14:paraId="1D92991B"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65.40%</w:t>
            </w:r>
          </w:p>
        </w:tc>
      </w:tr>
      <w:tr w:rsidR="000A37AA" w:rsidRPr="000A37AA" w14:paraId="398808BB" w14:textId="77777777" w:rsidTr="00A44FA8">
        <w:trPr>
          <w:trHeight w:val="7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820147A" w14:textId="77777777" w:rsidR="000A37AA" w:rsidRPr="000A37AA" w:rsidRDefault="000A37AA" w:rsidP="00A44FA8">
            <w:pPr>
              <w:widowControl/>
              <w:jc w:val="center"/>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3</w:t>
            </w:r>
          </w:p>
        </w:tc>
        <w:tc>
          <w:tcPr>
            <w:tcW w:w="1271" w:type="pct"/>
            <w:tcBorders>
              <w:top w:val="nil"/>
              <w:left w:val="nil"/>
              <w:bottom w:val="single" w:sz="4" w:space="0" w:color="auto"/>
              <w:right w:val="single" w:sz="4" w:space="0" w:color="auto"/>
            </w:tcBorders>
            <w:shd w:val="clear" w:color="auto" w:fill="auto"/>
            <w:vAlign w:val="bottom"/>
            <w:hideMark/>
          </w:tcPr>
          <w:p w14:paraId="51BE4A36" w14:textId="77777777" w:rsidR="000A37AA" w:rsidRPr="000A37AA" w:rsidRDefault="000A37AA" w:rsidP="000A37AA">
            <w:pPr>
              <w:widowControl/>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Gia hạn GCN đăng ký hoạt động BHĐC</w:t>
            </w:r>
          </w:p>
        </w:tc>
        <w:tc>
          <w:tcPr>
            <w:tcW w:w="630" w:type="pct"/>
            <w:tcBorders>
              <w:top w:val="nil"/>
              <w:left w:val="nil"/>
              <w:bottom w:val="single" w:sz="4" w:space="0" w:color="auto"/>
              <w:right w:val="single" w:sz="4" w:space="0" w:color="auto"/>
            </w:tcBorders>
            <w:shd w:val="clear" w:color="auto" w:fill="auto"/>
            <w:vAlign w:val="bottom"/>
            <w:hideMark/>
          </w:tcPr>
          <w:p w14:paraId="0C31D4CF"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109.983.852</w:t>
            </w:r>
          </w:p>
        </w:tc>
        <w:tc>
          <w:tcPr>
            <w:tcW w:w="1022" w:type="pct"/>
            <w:tcBorders>
              <w:top w:val="nil"/>
              <w:left w:val="nil"/>
              <w:bottom w:val="single" w:sz="4" w:space="0" w:color="auto"/>
              <w:right w:val="single" w:sz="4" w:space="0" w:color="auto"/>
            </w:tcBorders>
            <w:shd w:val="clear" w:color="auto" w:fill="auto"/>
            <w:vAlign w:val="bottom"/>
            <w:hideMark/>
          </w:tcPr>
          <w:p w14:paraId="6EBDBED8"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34.983.852</w:t>
            </w:r>
          </w:p>
        </w:tc>
        <w:tc>
          <w:tcPr>
            <w:tcW w:w="897" w:type="pct"/>
            <w:tcBorders>
              <w:top w:val="nil"/>
              <w:left w:val="nil"/>
              <w:bottom w:val="single" w:sz="4" w:space="0" w:color="auto"/>
              <w:right w:val="single" w:sz="4" w:space="0" w:color="auto"/>
            </w:tcBorders>
            <w:shd w:val="clear" w:color="auto" w:fill="auto"/>
            <w:vAlign w:val="bottom"/>
            <w:hideMark/>
          </w:tcPr>
          <w:p w14:paraId="004F66C6"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15000000</w:t>
            </w:r>
          </w:p>
        </w:tc>
        <w:tc>
          <w:tcPr>
            <w:tcW w:w="908" w:type="pct"/>
            <w:tcBorders>
              <w:top w:val="nil"/>
              <w:left w:val="nil"/>
              <w:bottom w:val="single" w:sz="4" w:space="0" w:color="auto"/>
              <w:right w:val="single" w:sz="4" w:space="0" w:color="auto"/>
            </w:tcBorders>
            <w:shd w:val="clear" w:color="auto" w:fill="auto"/>
            <w:vAlign w:val="bottom"/>
            <w:hideMark/>
          </w:tcPr>
          <w:p w14:paraId="0126689D" w14:textId="77777777" w:rsidR="000A37AA" w:rsidRPr="000A37AA" w:rsidRDefault="000A37AA" w:rsidP="000A37AA">
            <w:pPr>
              <w:widowControl/>
              <w:jc w:val="right"/>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68.19%</w:t>
            </w:r>
          </w:p>
        </w:tc>
      </w:tr>
      <w:tr w:rsidR="000A37AA" w:rsidRPr="000A37AA" w14:paraId="0ABAD35B" w14:textId="77777777" w:rsidTr="000A37AA">
        <w:trPr>
          <w:trHeight w:val="375"/>
        </w:trPr>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32C3D0E7" w14:textId="77777777" w:rsidR="000A37AA" w:rsidRPr="000A37AA" w:rsidRDefault="000A37AA" w:rsidP="000A37AA">
            <w:pPr>
              <w:widowControl/>
              <w:rPr>
                <w:rFonts w:ascii="Times New Roman" w:eastAsia="Times New Roman" w:hAnsi="Times New Roman" w:cs="Times New Roman"/>
                <w:sz w:val="22"/>
                <w:szCs w:val="22"/>
                <w:lang w:val="en-US" w:eastAsia="en-US"/>
              </w:rPr>
            </w:pPr>
            <w:r w:rsidRPr="000A37AA">
              <w:rPr>
                <w:rFonts w:ascii="Times New Roman" w:eastAsia="Times New Roman" w:hAnsi="Times New Roman" w:cs="Times New Roman"/>
                <w:sz w:val="22"/>
                <w:szCs w:val="22"/>
                <w:lang w:val="en-US" w:eastAsia="en-US"/>
              </w:rPr>
              <w:t> </w:t>
            </w:r>
          </w:p>
        </w:tc>
        <w:tc>
          <w:tcPr>
            <w:tcW w:w="1271" w:type="pct"/>
            <w:tcBorders>
              <w:top w:val="nil"/>
              <w:left w:val="nil"/>
              <w:bottom w:val="single" w:sz="4" w:space="0" w:color="auto"/>
              <w:right w:val="single" w:sz="4" w:space="0" w:color="auto"/>
            </w:tcBorders>
            <w:shd w:val="clear" w:color="auto" w:fill="auto"/>
            <w:vAlign w:val="bottom"/>
            <w:hideMark/>
          </w:tcPr>
          <w:p w14:paraId="1D31FA59" w14:textId="77777777" w:rsidR="000A37AA" w:rsidRPr="000A37AA" w:rsidRDefault="000A37AA" w:rsidP="000A37AA">
            <w:pPr>
              <w:widowControl/>
              <w:rPr>
                <w:rFonts w:ascii="Times New Roman" w:eastAsia="Times New Roman" w:hAnsi="Times New Roman" w:cs="Times New Roman"/>
                <w:sz w:val="28"/>
                <w:szCs w:val="28"/>
                <w:lang w:val="en-US" w:eastAsia="en-US"/>
              </w:rPr>
            </w:pPr>
            <w:r w:rsidRPr="000A37AA">
              <w:rPr>
                <w:rFonts w:ascii="Times New Roman" w:eastAsia="Times New Roman" w:hAnsi="Times New Roman" w:cs="Times New Roman"/>
                <w:sz w:val="28"/>
                <w:szCs w:val="28"/>
                <w:lang w:val="en-US" w:eastAsia="en-US"/>
              </w:rPr>
              <w:t>Tổng</w:t>
            </w:r>
          </w:p>
        </w:tc>
        <w:tc>
          <w:tcPr>
            <w:tcW w:w="630" w:type="pct"/>
            <w:tcBorders>
              <w:top w:val="nil"/>
              <w:left w:val="nil"/>
              <w:bottom w:val="single" w:sz="4" w:space="0" w:color="auto"/>
              <w:right w:val="single" w:sz="4" w:space="0" w:color="auto"/>
            </w:tcBorders>
            <w:shd w:val="clear" w:color="auto" w:fill="auto"/>
            <w:noWrap/>
            <w:vAlign w:val="bottom"/>
            <w:hideMark/>
          </w:tcPr>
          <w:p w14:paraId="215DE64D" w14:textId="77777777" w:rsidR="000A37AA" w:rsidRPr="000A37AA" w:rsidRDefault="000A37AA" w:rsidP="000A37AA">
            <w:pPr>
              <w:widowControl/>
              <w:jc w:val="right"/>
              <w:rPr>
                <w:rFonts w:ascii="Times New Roman" w:eastAsia="Times New Roman" w:hAnsi="Times New Roman" w:cs="Times New Roman"/>
                <w:b/>
                <w:bCs/>
                <w:lang w:val="en-US" w:eastAsia="en-US"/>
              </w:rPr>
            </w:pPr>
            <w:r w:rsidRPr="000A37AA">
              <w:rPr>
                <w:rFonts w:ascii="Times New Roman" w:eastAsia="Times New Roman" w:hAnsi="Times New Roman" w:cs="Times New Roman"/>
                <w:b/>
                <w:bCs/>
                <w:lang w:val="en-US" w:eastAsia="en-US"/>
              </w:rPr>
              <w:t>334.792.889</w:t>
            </w:r>
          </w:p>
        </w:tc>
        <w:tc>
          <w:tcPr>
            <w:tcW w:w="1022" w:type="pct"/>
            <w:tcBorders>
              <w:top w:val="nil"/>
              <w:left w:val="nil"/>
              <w:bottom w:val="single" w:sz="4" w:space="0" w:color="auto"/>
              <w:right w:val="single" w:sz="4" w:space="0" w:color="auto"/>
            </w:tcBorders>
            <w:shd w:val="clear" w:color="auto" w:fill="auto"/>
            <w:noWrap/>
            <w:vAlign w:val="bottom"/>
            <w:hideMark/>
          </w:tcPr>
          <w:p w14:paraId="2A58D3C4" w14:textId="77777777" w:rsidR="000A37AA" w:rsidRPr="000A37AA" w:rsidRDefault="000A37AA" w:rsidP="000A37AA">
            <w:pPr>
              <w:widowControl/>
              <w:jc w:val="right"/>
              <w:rPr>
                <w:rFonts w:ascii="Times New Roman" w:eastAsia="Times New Roman" w:hAnsi="Times New Roman" w:cs="Times New Roman"/>
                <w:b/>
                <w:bCs/>
                <w:lang w:val="en-US" w:eastAsia="en-US"/>
              </w:rPr>
            </w:pPr>
            <w:r w:rsidRPr="000A37AA">
              <w:rPr>
                <w:rFonts w:ascii="Times New Roman" w:eastAsia="Times New Roman" w:hAnsi="Times New Roman" w:cs="Times New Roman"/>
                <w:b/>
                <w:bCs/>
                <w:lang w:val="en-US" w:eastAsia="en-US"/>
              </w:rPr>
              <w:t>109.792.889</w:t>
            </w:r>
          </w:p>
        </w:tc>
        <w:tc>
          <w:tcPr>
            <w:tcW w:w="897" w:type="pct"/>
            <w:tcBorders>
              <w:top w:val="nil"/>
              <w:left w:val="nil"/>
              <w:bottom w:val="single" w:sz="4" w:space="0" w:color="auto"/>
              <w:right w:val="single" w:sz="4" w:space="0" w:color="auto"/>
            </w:tcBorders>
            <w:shd w:val="clear" w:color="auto" w:fill="auto"/>
            <w:noWrap/>
            <w:vAlign w:val="bottom"/>
            <w:hideMark/>
          </w:tcPr>
          <w:p w14:paraId="2CC0DE18" w14:textId="77777777" w:rsidR="000A37AA" w:rsidRPr="000A37AA" w:rsidRDefault="000A37AA" w:rsidP="000A37AA">
            <w:pPr>
              <w:widowControl/>
              <w:jc w:val="right"/>
              <w:rPr>
                <w:rFonts w:ascii="Times New Roman" w:eastAsia="Times New Roman" w:hAnsi="Times New Roman" w:cs="Times New Roman"/>
                <w:b/>
                <w:bCs/>
                <w:lang w:val="en-US" w:eastAsia="en-US"/>
              </w:rPr>
            </w:pPr>
            <w:r w:rsidRPr="000A37AA">
              <w:rPr>
                <w:rFonts w:ascii="Times New Roman" w:eastAsia="Times New Roman" w:hAnsi="Times New Roman" w:cs="Times New Roman"/>
                <w:b/>
                <w:bCs/>
                <w:lang w:val="en-US" w:eastAsia="en-US"/>
              </w:rPr>
              <w:t>165.000.000</w:t>
            </w:r>
          </w:p>
        </w:tc>
        <w:tc>
          <w:tcPr>
            <w:tcW w:w="908" w:type="pct"/>
            <w:tcBorders>
              <w:top w:val="nil"/>
              <w:left w:val="nil"/>
              <w:bottom w:val="single" w:sz="4" w:space="0" w:color="auto"/>
              <w:right w:val="single" w:sz="4" w:space="0" w:color="auto"/>
            </w:tcBorders>
            <w:shd w:val="clear" w:color="auto" w:fill="auto"/>
            <w:noWrap/>
            <w:vAlign w:val="bottom"/>
            <w:hideMark/>
          </w:tcPr>
          <w:p w14:paraId="7E151B07" w14:textId="77777777" w:rsidR="000A37AA" w:rsidRPr="000A37AA" w:rsidRDefault="000A37AA" w:rsidP="000A37AA">
            <w:pPr>
              <w:widowControl/>
              <w:jc w:val="right"/>
              <w:rPr>
                <w:rFonts w:ascii="Times New Roman" w:eastAsia="Times New Roman" w:hAnsi="Times New Roman" w:cs="Times New Roman"/>
                <w:b/>
                <w:bCs/>
                <w:lang w:val="en-US" w:eastAsia="en-US"/>
              </w:rPr>
            </w:pPr>
            <w:r w:rsidRPr="000A37AA">
              <w:rPr>
                <w:rFonts w:ascii="Times New Roman" w:eastAsia="Times New Roman" w:hAnsi="Times New Roman" w:cs="Times New Roman"/>
                <w:b/>
                <w:bCs/>
                <w:lang w:val="en-US" w:eastAsia="en-US"/>
              </w:rPr>
              <w:t>67.47%</w:t>
            </w:r>
          </w:p>
        </w:tc>
      </w:tr>
    </w:tbl>
    <w:p w14:paraId="6A2B8A3B" w14:textId="78EB6EA4" w:rsidR="007363A9" w:rsidRPr="00A44FA8" w:rsidRDefault="000A37AA" w:rsidP="00A44FA8">
      <w:pPr>
        <w:adjustRightInd w:val="0"/>
        <w:snapToGrid w:val="0"/>
        <w:spacing w:before="120" w:after="240"/>
        <w:ind w:firstLine="720"/>
        <w:jc w:val="both"/>
        <w:rPr>
          <w:rFonts w:ascii="Times New Roman" w:hAnsi="Times New Roman" w:cs="Times New Roman"/>
          <w:color w:val="000000" w:themeColor="text1"/>
          <w:sz w:val="28"/>
          <w:szCs w:val="28"/>
        </w:rPr>
      </w:pPr>
      <w:r w:rsidRPr="00552AE7">
        <w:rPr>
          <w:rFonts w:ascii="Times New Roman" w:hAnsi="Times New Roman" w:cs="Times New Roman"/>
          <w:i/>
          <w:iCs/>
          <w:color w:val="000000" w:themeColor="text1"/>
          <w:sz w:val="28"/>
          <w:szCs w:val="28"/>
        </w:rPr>
        <w:t xml:space="preserve"> </w:t>
      </w:r>
      <w:r w:rsidR="0030674B" w:rsidRPr="00552AE7">
        <w:rPr>
          <w:rFonts w:ascii="Times New Roman" w:hAnsi="Times New Roman" w:cs="Times New Roman"/>
          <w:i/>
          <w:iCs/>
          <w:color w:val="000000" w:themeColor="text1"/>
          <w:sz w:val="28"/>
          <w:szCs w:val="28"/>
        </w:rPr>
        <w:t>(Kèm theo Biểu mẫu đánh giá tác động thủ tục hành chính, Biểu mẫu tính chi phí tuân thủ thủ tục hành chính).</w:t>
      </w:r>
    </w:p>
    <w:p w14:paraId="0C591D4E" w14:textId="1F08ABD0" w:rsidR="000C41E0" w:rsidRPr="00A44FA8" w:rsidRDefault="000C41E0" w:rsidP="00A44FA8">
      <w:pPr>
        <w:tabs>
          <w:tab w:val="right" w:leader="dot" w:pos="8640"/>
        </w:tabs>
        <w:spacing w:before="120" w:after="240"/>
        <w:jc w:val="both"/>
        <w:rPr>
          <w:rFonts w:ascii="Times New Roman" w:hAnsi="Times New Roman" w:cs="Times New Roman"/>
          <w:sz w:val="28"/>
          <w:szCs w:val="28"/>
          <w:lang w:val="en-US"/>
        </w:rPr>
      </w:pPr>
      <w:bookmarkStart w:id="4" w:name="_GoBack"/>
      <w:bookmarkEnd w:id="4"/>
    </w:p>
    <w:sectPr w:rsidR="000C41E0" w:rsidRPr="00A44FA8" w:rsidSect="00DD606C">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D3A"/>
    <w:multiLevelType w:val="hybridMultilevel"/>
    <w:tmpl w:val="6992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6073FB"/>
    <w:multiLevelType w:val="hybridMultilevel"/>
    <w:tmpl w:val="A558ACD8"/>
    <w:lvl w:ilvl="0" w:tplc="FB0801EA">
      <w:start w:val="1"/>
      <w:numFmt w:val="decimal"/>
      <w:suff w:val="space"/>
      <w:lvlText w:val="%1."/>
      <w:lvlJc w:val="left"/>
      <w:pPr>
        <w:ind w:left="720"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294354B"/>
    <w:multiLevelType w:val="hybridMultilevel"/>
    <w:tmpl w:val="D492857A"/>
    <w:lvl w:ilvl="0" w:tplc="E32009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2CB6A75"/>
    <w:multiLevelType w:val="hybridMultilevel"/>
    <w:tmpl w:val="47F4CF66"/>
    <w:lvl w:ilvl="0" w:tplc="2FC87A2C">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2C00CE"/>
    <w:multiLevelType w:val="hybridMultilevel"/>
    <w:tmpl w:val="4A4228DE"/>
    <w:lvl w:ilvl="0" w:tplc="8B5CC092">
      <w:start w:val="1"/>
      <w:numFmt w:val="bullet"/>
      <w:lvlText w:val="-"/>
      <w:lvlJc w:val="left"/>
      <w:pPr>
        <w:ind w:left="108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0CC"/>
    <w:rsid w:val="00057FEC"/>
    <w:rsid w:val="000A37AA"/>
    <w:rsid w:val="000C41E0"/>
    <w:rsid w:val="000E6C3F"/>
    <w:rsid w:val="00167096"/>
    <w:rsid w:val="001864EB"/>
    <w:rsid w:val="001E64F3"/>
    <w:rsid w:val="00223163"/>
    <w:rsid w:val="00241037"/>
    <w:rsid w:val="0026166D"/>
    <w:rsid w:val="0026581A"/>
    <w:rsid w:val="00285C1E"/>
    <w:rsid w:val="002E24A3"/>
    <w:rsid w:val="002E788C"/>
    <w:rsid w:val="0030674B"/>
    <w:rsid w:val="0036193C"/>
    <w:rsid w:val="003C38A8"/>
    <w:rsid w:val="003D29CE"/>
    <w:rsid w:val="003E7FDE"/>
    <w:rsid w:val="004900DE"/>
    <w:rsid w:val="004B0554"/>
    <w:rsid w:val="00552AE7"/>
    <w:rsid w:val="00552F67"/>
    <w:rsid w:val="005550BE"/>
    <w:rsid w:val="00577F94"/>
    <w:rsid w:val="005C38E5"/>
    <w:rsid w:val="006159C5"/>
    <w:rsid w:val="00681CA0"/>
    <w:rsid w:val="006A2DCA"/>
    <w:rsid w:val="00707971"/>
    <w:rsid w:val="007363A9"/>
    <w:rsid w:val="00744C48"/>
    <w:rsid w:val="00776DA4"/>
    <w:rsid w:val="0084018F"/>
    <w:rsid w:val="008745D9"/>
    <w:rsid w:val="008F7912"/>
    <w:rsid w:val="00902615"/>
    <w:rsid w:val="009A18F6"/>
    <w:rsid w:val="00A44FA8"/>
    <w:rsid w:val="00A81CA0"/>
    <w:rsid w:val="00B132B9"/>
    <w:rsid w:val="00B900CC"/>
    <w:rsid w:val="00DD606C"/>
    <w:rsid w:val="00E80126"/>
    <w:rsid w:val="00F13DEF"/>
    <w:rsid w:val="00F44687"/>
    <w:rsid w:val="00F53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C42BF"/>
  <w15:chartTrackingRefBased/>
  <w15:docId w15:val="{164CC02C-51EF-40E3-8708-CC8260501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0CC"/>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B900CC"/>
    <w:pPr>
      <w:keepNext/>
      <w:widowControl/>
      <w:spacing w:before="120" w:after="240" w:line="264" w:lineRule="auto"/>
      <w:jc w:val="center"/>
      <w:outlineLvl w:val="0"/>
    </w:pPr>
    <w:rPr>
      <w:rFonts w:ascii="Times New Roman" w:eastAsia="Batang" w:hAnsi="Times New Roman" w:cs="Times New Roman"/>
      <w:b/>
      <w:color w:val="auto"/>
      <w:sz w:val="28"/>
      <w:szCs w:val="28"/>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0CC"/>
    <w:rPr>
      <w:rFonts w:ascii="Times New Roman" w:eastAsia="Batang" w:hAnsi="Times New Roman" w:cs="Times New Roman"/>
      <w:b/>
      <w:sz w:val="28"/>
      <w:szCs w:val="28"/>
      <w:lang w:eastAsia="ko-KR"/>
    </w:rPr>
  </w:style>
  <w:style w:type="paragraph" w:styleId="Header">
    <w:name w:val="header"/>
    <w:basedOn w:val="Normal"/>
    <w:link w:val="HeaderChar"/>
    <w:uiPriority w:val="99"/>
    <w:rsid w:val="00B900CC"/>
    <w:pPr>
      <w:tabs>
        <w:tab w:val="center" w:pos="4680"/>
        <w:tab w:val="right" w:pos="9360"/>
      </w:tabs>
    </w:pPr>
    <w:rPr>
      <w:rFonts w:cs="Times New Roman"/>
    </w:rPr>
  </w:style>
  <w:style w:type="character" w:customStyle="1" w:styleId="HeaderChar">
    <w:name w:val="Header Char"/>
    <w:basedOn w:val="DefaultParagraphFont"/>
    <w:link w:val="Header"/>
    <w:uiPriority w:val="99"/>
    <w:rsid w:val="00B900CC"/>
    <w:rPr>
      <w:rFonts w:ascii="Courier New" w:eastAsia="Courier New" w:hAnsi="Courier New" w:cs="Times New Roman"/>
      <w:color w:val="000000"/>
      <w:sz w:val="24"/>
      <w:szCs w:val="24"/>
      <w:lang w:val="vi-VN" w:eastAsia="vi-VN"/>
    </w:rPr>
  </w:style>
  <w:style w:type="paragraph" w:styleId="Footer">
    <w:name w:val="footer"/>
    <w:basedOn w:val="Normal"/>
    <w:link w:val="FooterChar"/>
    <w:uiPriority w:val="99"/>
    <w:rsid w:val="00B900CC"/>
    <w:pPr>
      <w:tabs>
        <w:tab w:val="center" w:pos="4680"/>
        <w:tab w:val="right" w:pos="9360"/>
      </w:tabs>
    </w:pPr>
    <w:rPr>
      <w:rFonts w:cs="Times New Roman"/>
    </w:rPr>
  </w:style>
  <w:style w:type="character" w:customStyle="1" w:styleId="FooterChar">
    <w:name w:val="Footer Char"/>
    <w:basedOn w:val="DefaultParagraphFont"/>
    <w:link w:val="Footer"/>
    <w:uiPriority w:val="99"/>
    <w:rsid w:val="00B900CC"/>
    <w:rPr>
      <w:rFonts w:ascii="Courier New" w:eastAsia="Courier New" w:hAnsi="Courier New" w:cs="Times New Roman"/>
      <w:color w:val="000000"/>
      <w:sz w:val="24"/>
      <w:szCs w:val="24"/>
      <w:lang w:val="vi-VN" w:eastAsia="vi-VN"/>
    </w:rPr>
  </w:style>
  <w:style w:type="paragraph" w:customStyle="1" w:styleId="n-dieund">
    <w:name w:val="n-dieund"/>
    <w:basedOn w:val="Normal"/>
    <w:rsid w:val="00B900CC"/>
    <w:pPr>
      <w:spacing w:after="120"/>
      <w:ind w:firstLine="709"/>
      <w:jc w:val="both"/>
    </w:pPr>
    <w:rPr>
      <w:rFonts w:ascii="Times New Roman" w:eastAsia="Times New Roman" w:hAnsi="Times New Roman" w:cs="Times New Roman"/>
      <w:sz w:val="28"/>
      <w:szCs w:val="28"/>
      <w:lang w:val="en-US" w:eastAsia="en-US"/>
    </w:rPr>
  </w:style>
  <w:style w:type="paragraph" w:styleId="BalloonText">
    <w:name w:val="Balloon Text"/>
    <w:basedOn w:val="Normal"/>
    <w:link w:val="BalloonTextChar"/>
    <w:rsid w:val="00B900CC"/>
    <w:rPr>
      <w:rFonts w:ascii="Segoe UI" w:hAnsi="Segoe UI" w:cs="Segoe UI"/>
      <w:sz w:val="18"/>
      <w:szCs w:val="18"/>
    </w:rPr>
  </w:style>
  <w:style w:type="character" w:customStyle="1" w:styleId="BalloonTextChar">
    <w:name w:val="Balloon Text Char"/>
    <w:basedOn w:val="DefaultParagraphFont"/>
    <w:link w:val="BalloonText"/>
    <w:rsid w:val="00B900CC"/>
    <w:rPr>
      <w:rFonts w:ascii="Segoe UI" w:eastAsia="Courier New" w:hAnsi="Segoe UI" w:cs="Segoe UI"/>
      <w:color w:val="000000"/>
      <w:sz w:val="18"/>
      <w:szCs w:val="18"/>
      <w:lang w:val="vi-VN" w:eastAsia="vi-VN"/>
    </w:rPr>
  </w:style>
  <w:style w:type="paragraph" w:styleId="BodyText">
    <w:name w:val="Body Text"/>
    <w:basedOn w:val="Normal"/>
    <w:link w:val="BodyTextChar"/>
    <w:rsid w:val="00B900CC"/>
    <w:pPr>
      <w:widowControl/>
      <w:spacing w:before="120" w:line="264" w:lineRule="auto"/>
      <w:jc w:val="both"/>
    </w:pPr>
    <w:rPr>
      <w:rFonts w:ascii="Times New Roman" w:eastAsia="Batang" w:hAnsi="Times New Roman" w:cs="Times New Roman"/>
      <w:b/>
      <w:color w:val="auto"/>
      <w:sz w:val="28"/>
      <w:szCs w:val="28"/>
      <w:lang w:val="en-US" w:eastAsia="ko-KR"/>
    </w:rPr>
  </w:style>
  <w:style w:type="character" w:customStyle="1" w:styleId="BodyTextChar">
    <w:name w:val="Body Text Char"/>
    <w:basedOn w:val="DefaultParagraphFont"/>
    <w:link w:val="BodyText"/>
    <w:rsid w:val="00B900CC"/>
    <w:rPr>
      <w:rFonts w:ascii="Times New Roman" w:eastAsia="Batang" w:hAnsi="Times New Roman" w:cs="Times New Roman"/>
      <w:b/>
      <w:sz w:val="28"/>
      <w:szCs w:val="28"/>
      <w:lang w:eastAsia="ko-KR"/>
    </w:rPr>
  </w:style>
  <w:style w:type="character" w:styleId="PageNumber">
    <w:name w:val="page number"/>
    <w:rsid w:val="00B900CC"/>
  </w:style>
  <w:style w:type="paragraph" w:customStyle="1" w:styleId="Default">
    <w:name w:val="Default"/>
    <w:rsid w:val="00B900CC"/>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character" w:styleId="FootnoteReference">
    <w:name w:val="footnote reference"/>
    <w:rsid w:val="00B900CC"/>
    <w:rPr>
      <w:vertAlign w:val="superscript"/>
    </w:rPr>
  </w:style>
  <w:style w:type="paragraph" w:styleId="BodyText2">
    <w:name w:val="Body Text 2"/>
    <w:basedOn w:val="Normal"/>
    <w:link w:val="BodyText2Char"/>
    <w:rsid w:val="00B900CC"/>
    <w:pPr>
      <w:widowControl/>
      <w:jc w:val="both"/>
    </w:pPr>
    <w:rPr>
      <w:rFonts w:ascii="Times New Roman" w:eastAsia="Times New Roman" w:hAnsi="Times New Roman" w:cs="Times New Roman"/>
      <w:b/>
      <w:i/>
      <w:color w:val="auto"/>
      <w:sz w:val="28"/>
      <w:szCs w:val="22"/>
      <w:lang w:val="x-none" w:eastAsia="x-none"/>
    </w:rPr>
  </w:style>
  <w:style w:type="character" w:customStyle="1" w:styleId="BodyText2Char">
    <w:name w:val="Body Text 2 Char"/>
    <w:basedOn w:val="DefaultParagraphFont"/>
    <w:link w:val="BodyText2"/>
    <w:rsid w:val="00B900CC"/>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B900CC"/>
    <w:pPr>
      <w:widowControl/>
      <w:spacing w:beforeLines="50" w:before="120" w:afterLines="50" w:after="120" w:line="264" w:lineRule="auto"/>
      <w:jc w:val="both"/>
    </w:pPr>
    <w:rPr>
      <w:rFonts w:ascii="Times New Roman" w:eastAsia="Batang" w:hAnsi="Times New Roman" w:cs="Times New Roman"/>
      <w:color w:val="auto"/>
      <w:szCs w:val="28"/>
      <w:lang w:val="en-US" w:eastAsia="ko-KR"/>
    </w:rPr>
  </w:style>
  <w:style w:type="character" w:customStyle="1" w:styleId="BodyText3Char">
    <w:name w:val="Body Text 3 Char"/>
    <w:basedOn w:val="DefaultParagraphFont"/>
    <w:link w:val="BodyText3"/>
    <w:rsid w:val="00B900CC"/>
    <w:rPr>
      <w:rFonts w:ascii="Times New Roman" w:eastAsia="Batang" w:hAnsi="Times New Roman" w:cs="Times New Roman"/>
      <w:sz w:val="24"/>
      <w:szCs w:val="28"/>
      <w:lang w:eastAsia="ko-KR"/>
    </w:rPr>
  </w:style>
  <w:style w:type="paragraph" w:styleId="FootnoteText">
    <w:name w:val="footnote text"/>
    <w:basedOn w:val="Normal"/>
    <w:link w:val="FootnoteTextChar"/>
    <w:rsid w:val="00B900CC"/>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rsid w:val="00B900CC"/>
    <w:rPr>
      <w:rFonts w:ascii="Times New Roman" w:eastAsia="Times New Roman" w:hAnsi="Times New Roman" w:cs="Times New Roman"/>
      <w:sz w:val="20"/>
      <w:szCs w:val="20"/>
    </w:rPr>
  </w:style>
  <w:style w:type="character" w:styleId="CommentReference">
    <w:name w:val="annotation reference"/>
    <w:rsid w:val="00B900CC"/>
    <w:rPr>
      <w:sz w:val="16"/>
      <w:szCs w:val="16"/>
    </w:rPr>
  </w:style>
  <w:style w:type="paragraph" w:styleId="CommentText">
    <w:name w:val="annotation text"/>
    <w:basedOn w:val="Normal"/>
    <w:link w:val="CommentTextChar"/>
    <w:rsid w:val="00B900CC"/>
    <w:pPr>
      <w:widowControl/>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rsid w:val="00B900CC"/>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rsid w:val="00B900CC"/>
    <w:rPr>
      <w:b/>
      <w:bCs/>
    </w:rPr>
  </w:style>
  <w:style w:type="character" w:customStyle="1" w:styleId="CommentSubjectChar">
    <w:name w:val="Comment Subject Char"/>
    <w:basedOn w:val="CommentTextChar"/>
    <w:link w:val="CommentSubject"/>
    <w:rsid w:val="00B900CC"/>
    <w:rPr>
      <w:rFonts w:ascii="Times New Roman" w:eastAsia="Batang" w:hAnsi="Times New Roman" w:cs="Times New Roman"/>
      <w:b/>
      <w:bCs/>
      <w:sz w:val="20"/>
      <w:szCs w:val="20"/>
      <w:lang w:eastAsia="ko-KR"/>
    </w:rPr>
  </w:style>
  <w:style w:type="character" w:customStyle="1" w:styleId="normal-h1">
    <w:name w:val="normal-h1"/>
    <w:rsid w:val="00B900CC"/>
    <w:rPr>
      <w:rFonts w:ascii="Times New Roman" w:hAnsi="Times New Roman" w:cs="Times New Roman" w:hint="default"/>
      <w:sz w:val="28"/>
      <w:szCs w:val="28"/>
    </w:rPr>
  </w:style>
  <w:style w:type="table" w:styleId="TableGrid">
    <w:name w:val="Table Grid"/>
    <w:basedOn w:val="TableNormal"/>
    <w:uiPriority w:val="59"/>
    <w:rsid w:val="00B900CC"/>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B900CC"/>
    <w:rPr>
      <w:color w:val="0000FF"/>
      <w:u w:val="single"/>
    </w:rPr>
  </w:style>
  <w:style w:type="paragraph" w:styleId="ListParagraph">
    <w:name w:val="List Paragraph"/>
    <w:basedOn w:val="Normal"/>
    <w:uiPriority w:val="34"/>
    <w:qFormat/>
    <w:rsid w:val="00B900CC"/>
    <w:pPr>
      <w:ind w:left="720"/>
      <w:contextualSpacing/>
    </w:pPr>
  </w:style>
  <w:style w:type="paragraph" w:styleId="NormalWeb">
    <w:name w:val="Normal (Web)"/>
    <w:basedOn w:val="Normal"/>
    <w:uiPriority w:val="99"/>
    <w:semiHidden/>
    <w:unhideWhenUsed/>
    <w:rsid w:val="007363A9"/>
    <w:pPr>
      <w:widowControl/>
      <w:spacing w:before="100" w:beforeAutospacing="1" w:after="100" w:afterAutospacing="1"/>
    </w:pPr>
    <w:rPr>
      <w:rFonts w:ascii="Times New Roman" w:eastAsia="Times New Roman" w:hAnsi="Times New Roman"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75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VIỆT Minh. Đoàn</cp:lastModifiedBy>
  <cp:revision>3</cp:revision>
  <cp:lastPrinted>2026-08-20T05:12:00Z</cp:lastPrinted>
  <dcterms:created xsi:type="dcterms:W3CDTF">2026-08-20T03:59:00Z</dcterms:created>
  <dcterms:modified xsi:type="dcterms:W3CDTF">2026-08-20T05:13:00Z</dcterms:modified>
</cp:coreProperties>
</file>